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CF" w:rsidRPr="000F3765" w:rsidRDefault="000F18CF" w:rsidP="0097531E">
      <w:pPr>
        <w:rPr>
          <w:sz w:val="2"/>
          <w:szCs w:val="2"/>
        </w:rPr>
      </w:pPr>
    </w:p>
    <w:p w:rsidR="00DC48DB" w:rsidRPr="00E3743F" w:rsidRDefault="00DC48DB" w:rsidP="0097531E">
      <w:pPr>
        <w:rPr>
          <w:sz w:val="4"/>
          <w:szCs w:val="2"/>
        </w:rPr>
        <w:sectPr w:rsidR="00DC48DB" w:rsidRPr="00E3743F" w:rsidSect="00DE05FD">
          <w:headerReference w:type="even" r:id="rId10"/>
          <w:headerReference w:type="default" r:id="rId11"/>
          <w:headerReference w:type="first" r:id="rId12"/>
          <w:footerReference w:type="first" r:id="rId13"/>
          <w:type w:val="continuous"/>
          <w:pgSz w:w="11906" w:h="16838" w:code="9"/>
          <w:pgMar w:top="1817" w:right="1416" w:bottom="1985" w:left="1701" w:header="709" w:footer="556" w:gutter="0"/>
          <w:cols w:space="708"/>
          <w:titlePg/>
          <w:docGrid w:linePitch="360"/>
        </w:sectPr>
      </w:pPr>
    </w:p>
    <w:p w:rsidR="005567E6" w:rsidRDefault="005567E6" w:rsidP="0097531E">
      <w:pPr>
        <w:rPr>
          <w:b/>
        </w:rPr>
      </w:pPr>
      <w:r>
        <w:rPr>
          <w:b/>
        </w:rPr>
        <w:lastRenderedPageBreak/>
        <w:t xml:space="preserve">European Commission Ref. </w:t>
      </w:r>
      <w:r w:rsidRPr="005567E6">
        <w:rPr>
          <w:b/>
        </w:rPr>
        <w:t>070201/2014/693666/FRA/ENV.C.3</w:t>
      </w:r>
      <w:r>
        <w:rPr>
          <w:b/>
        </w:rPr>
        <w:t xml:space="preserve"> Service Agreement 7:</w:t>
      </w:r>
      <w:r>
        <w:rPr>
          <w:b/>
        </w:rPr>
        <w:tab/>
      </w:r>
      <w:r>
        <w:rPr>
          <w:b/>
        </w:rPr>
        <w:br/>
      </w:r>
      <w:r w:rsidRPr="005567E6">
        <w:rPr>
          <w:b/>
        </w:rPr>
        <w:t>Continued improvements of inventory methodologies</w:t>
      </w:r>
    </w:p>
    <w:p w:rsidR="005567E6" w:rsidRDefault="005567E6" w:rsidP="0097531E">
      <w:pPr>
        <w:rPr>
          <w:b/>
        </w:rPr>
      </w:pPr>
      <w:r>
        <w:rPr>
          <w:b/>
        </w:rPr>
        <w:t xml:space="preserve">Task </w:t>
      </w:r>
      <w:r w:rsidR="001F2E7F">
        <w:rPr>
          <w:b/>
        </w:rPr>
        <w:t>4</w:t>
      </w:r>
      <w:r w:rsidR="0097531E">
        <w:rPr>
          <w:b/>
        </w:rPr>
        <w:t>.1</w:t>
      </w:r>
      <w:r>
        <w:rPr>
          <w:b/>
        </w:rPr>
        <w:t xml:space="preserve">: </w:t>
      </w:r>
      <w:r w:rsidR="001F2E7F" w:rsidRPr="001F2E7F">
        <w:rPr>
          <w:b/>
        </w:rPr>
        <w:t>SO</w:t>
      </w:r>
      <w:r w:rsidR="001F2E7F" w:rsidRPr="0097531E">
        <w:rPr>
          <w:b/>
          <w:vertAlign w:val="subscript"/>
        </w:rPr>
        <w:t>x</w:t>
      </w:r>
      <w:r w:rsidR="001F2E7F" w:rsidRPr="001F2E7F">
        <w:rPr>
          <w:b/>
        </w:rPr>
        <w:t xml:space="preserve"> / SO</w:t>
      </w:r>
      <w:r w:rsidR="001F2E7F" w:rsidRPr="007F5D73">
        <w:rPr>
          <w:b/>
          <w:vertAlign w:val="subscript"/>
        </w:rPr>
        <w:t>2</w:t>
      </w:r>
      <w:r w:rsidR="001F2E7F" w:rsidRPr="001F2E7F">
        <w:rPr>
          <w:b/>
        </w:rPr>
        <w:t xml:space="preserve"> inventory estimates</w:t>
      </w:r>
    </w:p>
    <w:p w:rsidR="005567E6" w:rsidRPr="005567E6" w:rsidRDefault="005567E6" w:rsidP="0097531E">
      <w:pPr>
        <w:rPr>
          <w:b/>
        </w:rPr>
      </w:pPr>
      <w:r>
        <w:rPr>
          <w:b/>
        </w:rPr>
        <w:t xml:space="preserve">Task lead: </w:t>
      </w:r>
      <w:r w:rsidR="001F2E7F">
        <w:rPr>
          <w:b/>
        </w:rPr>
        <w:t>Rob</w:t>
      </w:r>
      <w:r w:rsidR="0097531E">
        <w:rPr>
          <w:b/>
        </w:rPr>
        <w:t>ert</w:t>
      </w:r>
      <w:r w:rsidR="001F2E7F">
        <w:rPr>
          <w:b/>
        </w:rPr>
        <w:t xml:space="preserve"> Stewart, Ricardo-AEA</w:t>
      </w:r>
    </w:p>
    <w:p w:rsidR="005567E6" w:rsidRPr="005567E6" w:rsidRDefault="005567E6" w:rsidP="0097531E">
      <w:pPr>
        <w:rPr>
          <w:b/>
          <w:lang w:eastAsia="en-GB"/>
        </w:rPr>
      </w:pPr>
      <w:r w:rsidRPr="005567E6">
        <w:rPr>
          <w:b/>
          <w:lang w:eastAsia="en-GB"/>
        </w:rPr>
        <w:t>Consultation paper for discussion</w:t>
      </w:r>
    </w:p>
    <w:p w:rsidR="00A16573" w:rsidRPr="005567E6" w:rsidRDefault="005567E6" w:rsidP="0097531E">
      <w:pPr>
        <w:pStyle w:val="ListParagraph"/>
        <w:numPr>
          <w:ilvl w:val="0"/>
          <w:numId w:val="48"/>
        </w:numPr>
        <w:spacing w:after="120"/>
        <w:rPr>
          <w:b/>
        </w:rPr>
      </w:pPr>
      <w:r w:rsidRPr="005567E6">
        <w:rPr>
          <w:b/>
        </w:rPr>
        <w:t>Context</w:t>
      </w:r>
    </w:p>
    <w:p w:rsidR="0013701D" w:rsidRDefault="0013701D" w:rsidP="0013701D">
      <w:r w:rsidRPr="00EA01F7">
        <w:t>Ricardo-AEA Ltd, Aether Ltd and AMEC ha</w:t>
      </w:r>
      <w:r>
        <w:t>ve</w:t>
      </w:r>
      <w:r w:rsidRPr="00EA01F7">
        <w:t xml:space="preserve"> been commissioned to investigate and propose improvements to inventory methodologies in a number of key areas identified by the Task Force on Emission Inventories and Projections (TFEIP) and other bodies. The European Commission, as part of a collaborative initiative, has provided funding for this project, which </w:t>
      </w:r>
      <w:r>
        <w:t xml:space="preserve">is </w:t>
      </w:r>
      <w:r w:rsidRPr="00EA01F7">
        <w:t xml:space="preserve">expected to be the focus of discussion at the TFEIP meeting and workshops in May 2015. </w:t>
      </w:r>
      <w:r>
        <w:t xml:space="preserve">In addition to the key areas identified by the Task Force, the European Commission has identified other tasks related to the 2012 amendments of the Gothenburg Protocol, specifically on the definitions of "sulphur" and SOx/SO2 and black carbon and their use in developing and reporting emission inventories. This project is expected to be the focus of discussion at the TFEIP meeting and workshops in May 2015.  </w:t>
      </w:r>
    </w:p>
    <w:p w:rsidR="005567E6" w:rsidRDefault="005567E6" w:rsidP="0097531E">
      <w:r>
        <w:t xml:space="preserve">Task </w:t>
      </w:r>
      <w:r w:rsidR="001F2E7F">
        <w:t>4</w:t>
      </w:r>
      <w:r w:rsidR="0097531E">
        <w:t>.1</w:t>
      </w:r>
      <w:r>
        <w:t xml:space="preserve"> of this project is entitled “</w:t>
      </w:r>
      <w:r w:rsidR="001F2E7F" w:rsidRPr="001F2E7F">
        <w:t>SO</w:t>
      </w:r>
      <w:r w:rsidR="001F2E7F" w:rsidRPr="0097531E">
        <w:rPr>
          <w:vertAlign w:val="subscript"/>
        </w:rPr>
        <w:t>x</w:t>
      </w:r>
      <w:r w:rsidR="001F2E7F" w:rsidRPr="001F2E7F">
        <w:t xml:space="preserve"> / SO</w:t>
      </w:r>
      <w:r w:rsidR="001F2E7F" w:rsidRPr="0097531E">
        <w:rPr>
          <w:vertAlign w:val="subscript"/>
        </w:rPr>
        <w:t>2</w:t>
      </w:r>
      <w:r w:rsidR="001F2E7F" w:rsidRPr="001F2E7F">
        <w:t xml:space="preserve"> inventory estimates</w:t>
      </w:r>
      <w:r w:rsidR="001F2E7F">
        <w:t xml:space="preserve">”. </w:t>
      </w:r>
      <w:r w:rsidR="0097531E">
        <w:t xml:space="preserve"> </w:t>
      </w:r>
      <w:r>
        <w:t>This paper sets out our initial views on the delivery of this task, and is intended to form the basis of discussions with TFEIP subgroup chairs, TFEIP members, and other stakeholders.</w:t>
      </w:r>
    </w:p>
    <w:p w:rsidR="005567E6" w:rsidRPr="00C33890" w:rsidRDefault="00C33890" w:rsidP="0097531E">
      <w:pPr>
        <w:pStyle w:val="ListParagraph"/>
        <w:numPr>
          <w:ilvl w:val="0"/>
          <w:numId w:val="48"/>
        </w:numPr>
        <w:spacing w:after="120"/>
        <w:rPr>
          <w:b/>
        </w:rPr>
      </w:pPr>
      <w:r w:rsidRPr="00C33890">
        <w:rPr>
          <w:b/>
        </w:rPr>
        <w:t>The issue(s) to be addressed</w:t>
      </w:r>
    </w:p>
    <w:p w:rsidR="002202EF" w:rsidRDefault="00270C98" w:rsidP="0097531E">
      <w:r>
        <w:t>Task 4</w:t>
      </w:r>
      <w:r w:rsidR="0097531E">
        <w:t>.1</w:t>
      </w:r>
      <w:r>
        <w:t xml:space="preserve"> aims to address an existing issue </w:t>
      </w:r>
      <w:r w:rsidR="003C263B">
        <w:t xml:space="preserve">related to </w:t>
      </w:r>
      <w:r>
        <w:t>differences in reporting requirements under the National Emissions Ceiling (NEC) Directive and the Convention on Long Range Transboundary Air Pollution (CLRTAP). Under CLRTAP there is a requirement to report emissions to air of ‘sulphur’ which is typically reported as SO</w:t>
      </w:r>
      <w:r w:rsidRPr="00D80901">
        <w:rPr>
          <w:vertAlign w:val="subscript"/>
        </w:rPr>
        <w:t>x</w:t>
      </w:r>
      <w:r>
        <w:t xml:space="preserve"> (SO</w:t>
      </w:r>
      <w:r w:rsidRPr="00270C98">
        <w:rPr>
          <w:vertAlign w:val="subscript"/>
        </w:rPr>
        <w:t>2</w:t>
      </w:r>
      <w:r>
        <w:t xml:space="preserve"> and SO</w:t>
      </w:r>
      <w:r w:rsidRPr="00270C98">
        <w:rPr>
          <w:vertAlign w:val="subscript"/>
        </w:rPr>
        <w:t>3</w:t>
      </w:r>
      <w:r>
        <w:t xml:space="preserve">) while under </w:t>
      </w:r>
      <w:r w:rsidR="00D80901">
        <w:t xml:space="preserve">the </w:t>
      </w:r>
      <w:r>
        <w:t>NEC Directive the reporting requirements specifically relate to SO</w:t>
      </w:r>
      <w:r w:rsidRPr="00270C98">
        <w:rPr>
          <w:vertAlign w:val="subscript"/>
        </w:rPr>
        <w:t>2</w:t>
      </w:r>
      <w:r>
        <w:t xml:space="preserve"> </w:t>
      </w:r>
      <w:r w:rsidRPr="00270C98">
        <w:t>only</w:t>
      </w:r>
    </w:p>
    <w:p w:rsidR="00270C98" w:rsidRDefault="00270C98" w:rsidP="0097531E">
      <w:r>
        <w:t>The core aim of the first sub-task is therefore to better understand the differences between SO</w:t>
      </w:r>
      <w:r w:rsidRPr="00D80901">
        <w:rPr>
          <w:vertAlign w:val="subscript"/>
        </w:rPr>
        <w:t>x</w:t>
      </w:r>
      <w:r>
        <w:t xml:space="preserve"> and SO</w:t>
      </w:r>
      <w:r w:rsidRPr="00270C98">
        <w:rPr>
          <w:vertAlign w:val="subscript"/>
        </w:rPr>
        <w:t>2</w:t>
      </w:r>
      <w:r>
        <w:t xml:space="preserve"> estimates </w:t>
      </w:r>
      <w:r w:rsidR="00D80901">
        <w:t xml:space="preserve">and </w:t>
      </w:r>
      <w:r>
        <w:t>what level of impact SO</w:t>
      </w:r>
      <w:r w:rsidRPr="00270C98">
        <w:rPr>
          <w:vertAlign w:val="subscript"/>
        </w:rPr>
        <w:t>3</w:t>
      </w:r>
      <w:r>
        <w:rPr>
          <w:vertAlign w:val="subscript"/>
        </w:rPr>
        <w:t xml:space="preserve"> </w:t>
      </w:r>
      <w:r w:rsidR="00D80901" w:rsidRPr="00D80901">
        <w:t>has</w:t>
      </w:r>
      <w:r w:rsidR="00D80901">
        <w:rPr>
          <w:vertAlign w:val="subscript"/>
        </w:rPr>
        <w:t xml:space="preserve"> </w:t>
      </w:r>
      <w:r>
        <w:t>to the overall SO</w:t>
      </w:r>
      <w:r w:rsidRPr="00D80901">
        <w:rPr>
          <w:vertAlign w:val="subscript"/>
        </w:rPr>
        <w:t>x</w:t>
      </w:r>
      <w:r>
        <w:t xml:space="preserve"> totals.</w:t>
      </w:r>
    </w:p>
    <w:p w:rsidR="00D80901" w:rsidRPr="00270C98" w:rsidRDefault="00270C98" w:rsidP="0097531E">
      <w:r>
        <w:t xml:space="preserve">Additionally the project </w:t>
      </w:r>
      <w:r w:rsidR="00511704">
        <w:t xml:space="preserve">will also address </w:t>
      </w:r>
      <w:r>
        <w:t>the issue of ‘reduced sulphur’. The reporting under CLRTAP states that reporting for the convention relates to emissions to air of ‘sulphur</w:t>
      </w:r>
      <w:r w:rsidR="0097531E">
        <w:t>.</w:t>
      </w:r>
      <w:r>
        <w:t>’</w:t>
      </w:r>
      <w:r w:rsidR="0097531E">
        <w:t xml:space="preserve"> </w:t>
      </w:r>
      <w:r>
        <w:t xml:space="preserve"> </w:t>
      </w:r>
      <w:r w:rsidR="0097531E">
        <w:t>This</w:t>
      </w:r>
      <w:r>
        <w:t xml:space="preserve"> would typically be in </w:t>
      </w:r>
      <w:r w:rsidR="00D80901">
        <w:t xml:space="preserve">an </w:t>
      </w:r>
      <w:r>
        <w:t>oxidised form (</w:t>
      </w:r>
      <w:r w:rsidR="0097531E">
        <w:t xml:space="preserve">i.e. </w:t>
      </w:r>
      <w:r>
        <w:t>SO</w:t>
      </w:r>
      <w:r w:rsidRPr="00D80901">
        <w:rPr>
          <w:vertAlign w:val="subscript"/>
        </w:rPr>
        <w:t>x</w:t>
      </w:r>
      <w:r>
        <w:t xml:space="preserve">), however a small number of countries, in particular Finland, have identified reduced sulphur emissions as a potential issue. Therefore a secondary aim of this sub-task will </w:t>
      </w:r>
      <w:r w:rsidR="0097531E">
        <w:t>be to carry out preliminary research into the potential significance of reduced sulphur as a contributor to total sulphur emissions.</w:t>
      </w:r>
    </w:p>
    <w:p w:rsidR="00C33890" w:rsidRPr="00C33890" w:rsidRDefault="00C33890" w:rsidP="0097531E">
      <w:pPr>
        <w:pStyle w:val="ListParagraph"/>
        <w:numPr>
          <w:ilvl w:val="0"/>
          <w:numId w:val="48"/>
        </w:numPr>
        <w:spacing w:after="120"/>
        <w:rPr>
          <w:b/>
        </w:rPr>
      </w:pPr>
      <w:r w:rsidRPr="00C33890">
        <w:rPr>
          <w:b/>
        </w:rPr>
        <w:t>Proposed approach</w:t>
      </w:r>
    </w:p>
    <w:p w:rsidR="00D80901" w:rsidRDefault="00D80901" w:rsidP="0097531E">
      <w:r>
        <w:t xml:space="preserve">To respond to the aims of this sub-task we </w:t>
      </w:r>
      <w:r w:rsidR="007D3822">
        <w:t xml:space="preserve">have developed </w:t>
      </w:r>
      <w:r>
        <w:t xml:space="preserve">a methodology involving </w:t>
      </w:r>
      <w:r w:rsidR="007C6283">
        <w:t>four</w:t>
      </w:r>
      <w:r>
        <w:t xml:space="preserve"> defined steps which are detailed as follows:</w:t>
      </w:r>
    </w:p>
    <w:p w:rsidR="00D80901" w:rsidRPr="0097531E" w:rsidRDefault="00D80901" w:rsidP="0097531E">
      <w:pPr>
        <w:rPr>
          <w:b/>
          <w:i/>
        </w:rPr>
      </w:pPr>
      <w:r w:rsidRPr="0097531E">
        <w:rPr>
          <w:b/>
          <w:i/>
        </w:rPr>
        <w:t>Step 1: Analysis of report</w:t>
      </w:r>
      <w:r w:rsidR="007C6283" w:rsidRPr="0097531E">
        <w:rPr>
          <w:b/>
          <w:i/>
        </w:rPr>
        <w:t>ing requirements</w:t>
      </w:r>
    </w:p>
    <w:p w:rsidR="007C6283" w:rsidRDefault="007C6283" w:rsidP="0097531E">
      <w:r w:rsidRPr="007C6283">
        <w:t>Initially</w:t>
      </w:r>
      <w:r>
        <w:t xml:space="preserve"> </w:t>
      </w:r>
      <w:r w:rsidR="007D3822">
        <w:t>we</w:t>
      </w:r>
      <w:r>
        <w:t xml:space="preserve"> will review the reporting requirements placed on </w:t>
      </w:r>
      <w:r w:rsidR="007F5D73">
        <w:t xml:space="preserve">those </w:t>
      </w:r>
      <w:r w:rsidR="00EE4AA5">
        <w:t xml:space="preserve">Parties </w:t>
      </w:r>
      <w:r w:rsidR="007F5D73">
        <w:t>covered by CLRTAP reporting</w:t>
      </w:r>
      <w:r>
        <w:t>. Under the EU context for the NEC Directive the reporting for sulphur is clearly defined as SO</w:t>
      </w:r>
      <w:r w:rsidRPr="007C6283">
        <w:rPr>
          <w:vertAlign w:val="subscript"/>
        </w:rPr>
        <w:t>2</w:t>
      </w:r>
      <w:r>
        <w:t xml:space="preserve">, while for CLRTAP the requirement relates to sulphur, </w:t>
      </w:r>
      <w:r w:rsidR="00EE4AA5">
        <w:t xml:space="preserve">expressed </w:t>
      </w:r>
      <w:r>
        <w:t xml:space="preserve">as </w:t>
      </w:r>
      <w:proofErr w:type="spellStart"/>
      <w:r>
        <w:t>SO</w:t>
      </w:r>
      <w:r w:rsidRPr="007C6283">
        <w:rPr>
          <w:vertAlign w:val="subscript"/>
        </w:rPr>
        <w:t>x</w:t>
      </w:r>
      <w:proofErr w:type="spellEnd"/>
      <w:r>
        <w:t xml:space="preserve">. However, CLRTAP also contains a number of protocols, notably </w:t>
      </w:r>
      <w:r w:rsidR="00EE4AA5">
        <w:t xml:space="preserve">the first and second sulphur protocols, and the </w:t>
      </w:r>
      <w:r>
        <w:t>Gothenburg</w:t>
      </w:r>
      <w:r w:rsidR="00EE4AA5">
        <w:t xml:space="preserve"> protocol (original </w:t>
      </w:r>
      <w:r w:rsidR="00FF1A63">
        <w:t>1999</w:t>
      </w:r>
      <w:r w:rsidR="00EE4AA5">
        <w:t>, and 2012 amendment – the latter not yet in force)</w:t>
      </w:r>
      <w:r>
        <w:t xml:space="preserve">, and so it will be necessary to understand the </w:t>
      </w:r>
      <w:r w:rsidR="007F5D73">
        <w:t xml:space="preserve">relationship between the </w:t>
      </w:r>
      <w:r>
        <w:t xml:space="preserve">protocols </w:t>
      </w:r>
      <w:r w:rsidR="007F5D73">
        <w:t>and</w:t>
      </w:r>
      <w:r>
        <w:t xml:space="preserve"> the Convention and also EU reporting requirements </w:t>
      </w:r>
      <w:r w:rsidR="00BC1794">
        <w:t xml:space="preserve">in order </w:t>
      </w:r>
      <w:r>
        <w:t xml:space="preserve">to understand the </w:t>
      </w:r>
      <w:r w:rsidR="00BC1794">
        <w:t xml:space="preserve">intent of the </w:t>
      </w:r>
      <w:r>
        <w:t>definitions for sulphur emissions.</w:t>
      </w:r>
      <w:r w:rsidR="007409ED">
        <w:t xml:space="preserve"> </w:t>
      </w:r>
      <w:r w:rsidR="00550250">
        <w:t>The aim</w:t>
      </w:r>
      <w:r w:rsidR="006122EF">
        <w:t>s</w:t>
      </w:r>
      <w:r w:rsidR="00550250">
        <w:t xml:space="preserve"> </w:t>
      </w:r>
      <w:r w:rsidR="007F1A32">
        <w:t>are</w:t>
      </w:r>
      <w:r w:rsidR="00550250">
        <w:t>,</w:t>
      </w:r>
      <w:r w:rsidR="007409ED">
        <w:t xml:space="preserve"> </w:t>
      </w:r>
      <w:r w:rsidR="00550250">
        <w:t xml:space="preserve">where possible, </w:t>
      </w:r>
      <w:r w:rsidR="007409ED">
        <w:t xml:space="preserve">to </w:t>
      </w:r>
      <w:r w:rsidR="00550250">
        <w:t xml:space="preserve">develop </w:t>
      </w:r>
      <w:r w:rsidR="007409ED">
        <w:t xml:space="preserve">consistent wording and interpretation </w:t>
      </w:r>
      <w:r w:rsidR="00511704">
        <w:t>in relation to</w:t>
      </w:r>
      <w:r w:rsidR="007409ED">
        <w:t xml:space="preserve"> the sulphur</w:t>
      </w:r>
      <w:r w:rsidR="00550250">
        <w:t xml:space="preserve">-related </w:t>
      </w:r>
      <w:r w:rsidR="007409ED">
        <w:t>Protocols of the CLRTAP and the NECD</w:t>
      </w:r>
      <w:r w:rsidR="002202EF">
        <w:t xml:space="preserve"> </w:t>
      </w:r>
      <w:r w:rsidR="007F1A32">
        <w:t xml:space="preserve">and to </w:t>
      </w:r>
      <w:r w:rsidR="002202EF">
        <w:t>initiate a</w:t>
      </w:r>
      <w:r w:rsidR="007F1A32">
        <w:t xml:space="preserve"> discussion of point source </w:t>
      </w:r>
      <w:r w:rsidR="006122EF">
        <w:t>emissions</w:t>
      </w:r>
      <w:r w:rsidR="007F1A32">
        <w:t xml:space="preserve"> monitoring, which in many countries feeds the inventory directly ( IED/LCP and E-PRTR reporting will be into scope as well). </w:t>
      </w:r>
    </w:p>
    <w:p w:rsidR="00511704" w:rsidRDefault="00511704" w:rsidP="0097531E"/>
    <w:p w:rsidR="007C6283" w:rsidRPr="0097531E" w:rsidRDefault="007C6283" w:rsidP="0097531E">
      <w:pPr>
        <w:rPr>
          <w:b/>
          <w:i/>
        </w:rPr>
      </w:pPr>
      <w:r w:rsidRPr="0097531E">
        <w:rPr>
          <w:b/>
          <w:i/>
        </w:rPr>
        <w:t xml:space="preserve">Step 2: </w:t>
      </w:r>
      <w:r w:rsidR="00B7012A" w:rsidRPr="0097531E">
        <w:rPr>
          <w:b/>
          <w:i/>
        </w:rPr>
        <w:t xml:space="preserve">Focused </w:t>
      </w:r>
      <w:r w:rsidRPr="0097531E">
        <w:rPr>
          <w:b/>
          <w:i/>
        </w:rPr>
        <w:t>stakeholder engagement</w:t>
      </w:r>
    </w:p>
    <w:p w:rsidR="007C6283" w:rsidRPr="007C6283" w:rsidRDefault="007C6283" w:rsidP="0097531E">
      <w:r>
        <w:t>Following on from step one, we plan to make use of our internal knowledge of the inventory community, and contact with the TFEIP Expert Panels to identify suitable stakeholders who have voiced an opinion regarding the discrepancies between SO</w:t>
      </w:r>
      <w:r w:rsidRPr="007C6283">
        <w:rPr>
          <w:vertAlign w:val="subscript"/>
        </w:rPr>
        <w:t>2</w:t>
      </w:r>
      <w:r w:rsidR="00511704">
        <w:t xml:space="preserve">, </w:t>
      </w:r>
      <w:r>
        <w:t>SO</w:t>
      </w:r>
      <w:r w:rsidRPr="007C6283">
        <w:rPr>
          <w:vertAlign w:val="subscript"/>
        </w:rPr>
        <w:t>x</w:t>
      </w:r>
      <w:r>
        <w:t xml:space="preserve"> </w:t>
      </w:r>
      <w:r w:rsidR="00550250">
        <w:t xml:space="preserve">and total sulphur </w:t>
      </w:r>
      <w:r>
        <w:t xml:space="preserve">reporting. In preparation for </w:t>
      </w:r>
      <w:r w:rsidR="0097531E">
        <w:t>discussions with</w:t>
      </w:r>
      <w:r>
        <w:t xml:space="preserve"> these stakeholders (who we expect will </w:t>
      </w:r>
      <w:r w:rsidR="0097531E">
        <w:t xml:space="preserve">largely </w:t>
      </w:r>
      <w:r>
        <w:t>come from the inventory community</w:t>
      </w:r>
      <w:r w:rsidR="007F1A32">
        <w:t xml:space="preserve"> and from experts from the industrial sector</w:t>
      </w:r>
      <w:r>
        <w:t>) we will acquire and review the informative inventory reports (IIRs) for those nations to draw out any data or emission factors which specifically highlight differences between the inventory approach and estimates for SO</w:t>
      </w:r>
      <w:r w:rsidRPr="007C6283">
        <w:rPr>
          <w:vertAlign w:val="subscript"/>
        </w:rPr>
        <w:t>2</w:t>
      </w:r>
      <w:r>
        <w:t xml:space="preserve"> and SO</w:t>
      </w:r>
      <w:r w:rsidRPr="007C6283">
        <w:rPr>
          <w:vertAlign w:val="subscript"/>
        </w:rPr>
        <w:t>x</w:t>
      </w:r>
    </w:p>
    <w:p w:rsidR="00D80901" w:rsidRPr="0097531E" w:rsidRDefault="00D80901" w:rsidP="0097531E">
      <w:pPr>
        <w:rPr>
          <w:b/>
          <w:i/>
        </w:rPr>
      </w:pPr>
      <w:r w:rsidRPr="0097531E">
        <w:rPr>
          <w:b/>
          <w:i/>
        </w:rPr>
        <w:t xml:space="preserve">Step 3: </w:t>
      </w:r>
      <w:r w:rsidR="007F5D73" w:rsidRPr="0097531E">
        <w:rPr>
          <w:b/>
          <w:i/>
        </w:rPr>
        <w:t>Rapid literature review</w:t>
      </w:r>
    </w:p>
    <w:p w:rsidR="00D80901" w:rsidRPr="007C6283" w:rsidRDefault="007C6283" w:rsidP="0097531E">
      <w:r>
        <w:t xml:space="preserve">Alongside the first two steps of our approach we also plan to carry out a literature </w:t>
      </w:r>
      <w:r w:rsidR="00511704">
        <w:t xml:space="preserve">review </w:t>
      </w:r>
      <w:r>
        <w:t>to identify material which would help highlight the differences between SO</w:t>
      </w:r>
      <w:r w:rsidRPr="007C6283">
        <w:rPr>
          <w:vertAlign w:val="subscript"/>
        </w:rPr>
        <w:t>2</w:t>
      </w:r>
      <w:r>
        <w:t xml:space="preserve"> and SO</w:t>
      </w:r>
      <w:r w:rsidRPr="007C6283">
        <w:rPr>
          <w:vertAlign w:val="subscript"/>
        </w:rPr>
        <w:t>x</w:t>
      </w:r>
      <w:r>
        <w:t xml:space="preserve"> which could be used to gauge the magnitude of the difference</w:t>
      </w:r>
      <w:r w:rsidR="007F5D73">
        <w:t>, including sector coverage for the different pollutants</w:t>
      </w:r>
      <w:r>
        <w:t xml:space="preserve">. In particular work has been carried out by the USA to look at </w:t>
      </w:r>
      <w:r w:rsidR="00DE05EF">
        <w:t>SO</w:t>
      </w:r>
      <w:r w:rsidR="00DE05EF" w:rsidRPr="007C6283">
        <w:rPr>
          <w:vertAlign w:val="subscript"/>
        </w:rPr>
        <w:t>2</w:t>
      </w:r>
      <w:r w:rsidR="00DE05EF">
        <w:t xml:space="preserve"> and </w:t>
      </w:r>
      <w:proofErr w:type="spellStart"/>
      <w:r w:rsidR="00DE05EF">
        <w:t>SO</w:t>
      </w:r>
      <w:r w:rsidR="00DE05EF" w:rsidRPr="007C6283">
        <w:rPr>
          <w:vertAlign w:val="subscript"/>
        </w:rPr>
        <w:t>x</w:t>
      </w:r>
      <w:proofErr w:type="spellEnd"/>
      <w:r>
        <w:t xml:space="preserve"> as separate pollutants</w:t>
      </w:r>
      <w:r w:rsidR="007F1A32">
        <w:t xml:space="preserve"> while</w:t>
      </w:r>
      <w:r>
        <w:t xml:space="preserve"> the E-PRTR </w:t>
      </w:r>
      <w:r w:rsidR="007F1A32">
        <w:t>defines the</w:t>
      </w:r>
      <w:r w:rsidR="002202EF">
        <w:t xml:space="preserve"> pollutant as “sulphur oxides" </w:t>
      </w:r>
      <w:proofErr w:type="spellStart"/>
      <w:r w:rsidR="002202EF">
        <w:t>SOx</w:t>
      </w:r>
      <w:proofErr w:type="spellEnd"/>
      <w:r w:rsidR="002202EF">
        <w:t>/SO2 (</w:t>
      </w:r>
      <w:proofErr w:type="spellStart"/>
      <w:r w:rsidR="007F1A32">
        <w:t>SOx</w:t>
      </w:r>
      <w:proofErr w:type="spellEnd"/>
      <w:r w:rsidR="007F1A32">
        <w:t xml:space="preserve"> and SO2 are not reported separately</w:t>
      </w:r>
      <w:r w:rsidR="002202EF">
        <w:t xml:space="preserve">). </w:t>
      </w:r>
      <w:r w:rsidR="006122EF">
        <w:t>.</w:t>
      </w:r>
      <w:r w:rsidR="00511704">
        <w:t>T</w:t>
      </w:r>
      <w:r w:rsidR="005927BA">
        <w:t xml:space="preserve">his task will additionally explore the possibility to provide emission factors for </w:t>
      </w:r>
      <w:r w:rsidR="00DE05EF">
        <w:t>SO</w:t>
      </w:r>
      <w:r w:rsidR="00DE05EF" w:rsidRPr="007C6283">
        <w:rPr>
          <w:vertAlign w:val="subscript"/>
        </w:rPr>
        <w:t>2</w:t>
      </w:r>
      <w:r w:rsidR="00DE05EF">
        <w:t xml:space="preserve"> </w:t>
      </w:r>
      <w:r w:rsidR="005927BA">
        <w:t xml:space="preserve">(in addition to </w:t>
      </w:r>
      <w:r w:rsidR="00DE05EF">
        <w:t>SO</w:t>
      </w:r>
      <w:r w:rsidR="00DE05EF" w:rsidRPr="007C6283">
        <w:rPr>
          <w:vertAlign w:val="subscript"/>
        </w:rPr>
        <w:t>x</w:t>
      </w:r>
      <w:r w:rsidR="005927BA">
        <w:t>) to the TFEIP for potential inclusion in the GB.</w:t>
      </w:r>
    </w:p>
    <w:p w:rsidR="007C6283" w:rsidRPr="0097531E" w:rsidRDefault="007C6283" w:rsidP="0097531E">
      <w:pPr>
        <w:rPr>
          <w:b/>
          <w:i/>
        </w:rPr>
      </w:pPr>
      <w:r w:rsidRPr="0097531E">
        <w:rPr>
          <w:b/>
          <w:i/>
        </w:rPr>
        <w:t xml:space="preserve">Step 4: </w:t>
      </w:r>
      <w:r w:rsidR="00B7012A" w:rsidRPr="0097531E">
        <w:rPr>
          <w:b/>
          <w:i/>
        </w:rPr>
        <w:t>Report on SOx / SO</w:t>
      </w:r>
      <w:r w:rsidR="00B7012A" w:rsidRPr="0097531E">
        <w:rPr>
          <w:b/>
          <w:i/>
          <w:vertAlign w:val="subscript"/>
        </w:rPr>
        <w:t>2</w:t>
      </w:r>
      <w:r w:rsidR="00B7012A" w:rsidRPr="0097531E">
        <w:rPr>
          <w:b/>
          <w:i/>
        </w:rPr>
        <w:t xml:space="preserve"> and estimates </w:t>
      </w:r>
      <w:r w:rsidRPr="0097531E">
        <w:rPr>
          <w:b/>
          <w:i/>
        </w:rPr>
        <w:t>and recommendations</w:t>
      </w:r>
    </w:p>
    <w:p w:rsidR="007C6283" w:rsidRDefault="00B7012A" w:rsidP="0097531E">
      <w:r>
        <w:t>T</w:t>
      </w:r>
      <w:r w:rsidR="00F17A79">
        <w:t>he final stage in our approach will be to collate the findings and provide the information gathered along with recommendations in a report back to the Commission Services and European Environment Agency on the issues identified.</w:t>
      </w:r>
    </w:p>
    <w:p w:rsidR="00C33890" w:rsidRPr="00C33890" w:rsidRDefault="00C33890" w:rsidP="0097531E">
      <w:pPr>
        <w:pStyle w:val="ListParagraph"/>
        <w:numPr>
          <w:ilvl w:val="0"/>
          <w:numId w:val="48"/>
        </w:numPr>
        <w:spacing w:after="120"/>
        <w:rPr>
          <w:b/>
        </w:rPr>
      </w:pPr>
      <w:r w:rsidRPr="00C33890">
        <w:rPr>
          <w:b/>
        </w:rPr>
        <w:t>Key sources of data</w:t>
      </w:r>
      <w:bookmarkStart w:id="0" w:name="_GoBack"/>
      <w:bookmarkEnd w:id="0"/>
    </w:p>
    <w:p w:rsidR="00D80901" w:rsidRDefault="00D80901" w:rsidP="0097531E">
      <w:r>
        <w:t>The core data to be used within this sub-task will relate to the emission estimates under CLRTAP. On that basis the key sources of data will be:</w:t>
      </w:r>
    </w:p>
    <w:p w:rsidR="00D80901" w:rsidRDefault="00D80901" w:rsidP="0097531E">
      <w:pPr>
        <w:pStyle w:val="ListParagraph"/>
        <w:numPr>
          <w:ilvl w:val="0"/>
          <w:numId w:val="50"/>
        </w:numPr>
        <w:spacing w:after="120"/>
      </w:pPr>
      <w:r>
        <w:t>Emission estimates provided to CLRTAP</w:t>
      </w:r>
      <w:r w:rsidR="007F1A32">
        <w:t xml:space="preserve"> and the NEC Directive</w:t>
      </w:r>
      <w:r w:rsidR="00CB1112">
        <w:t>;</w:t>
      </w:r>
    </w:p>
    <w:p w:rsidR="00D80901" w:rsidRDefault="00D80901" w:rsidP="0097531E">
      <w:pPr>
        <w:pStyle w:val="ListParagraph"/>
        <w:numPr>
          <w:ilvl w:val="0"/>
          <w:numId w:val="50"/>
        </w:numPr>
        <w:spacing w:after="120"/>
      </w:pPr>
      <w:r>
        <w:t>Informative Inventory Reports (IIRs)</w:t>
      </w:r>
      <w:r w:rsidR="00CB1112">
        <w:t>;</w:t>
      </w:r>
    </w:p>
    <w:p w:rsidR="00D81FD8" w:rsidRPr="00B20EBB" w:rsidRDefault="001913A8" w:rsidP="0097531E">
      <w:pPr>
        <w:pStyle w:val="ListParagraph"/>
        <w:numPr>
          <w:ilvl w:val="0"/>
          <w:numId w:val="50"/>
        </w:numPr>
        <w:spacing w:after="120"/>
      </w:pPr>
      <w:r w:rsidRPr="00B20EBB">
        <w:t xml:space="preserve">USEPA AP42 which includes factors for </w:t>
      </w:r>
      <w:r w:rsidR="00B20EBB">
        <w:t xml:space="preserve">both </w:t>
      </w:r>
      <w:r w:rsidRPr="00B20EBB">
        <w:t>SO</w:t>
      </w:r>
      <w:r w:rsidRPr="00B20EBB">
        <w:rPr>
          <w:vertAlign w:val="subscript"/>
        </w:rPr>
        <w:t>2</w:t>
      </w:r>
      <w:r w:rsidRPr="00B20EBB">
        <w:t xml:space="preserve"> and SO</w:t>
      </w:r>
      <w:r w:rsidRPr="00B20EBB">
        <w:rPr>
          <w:vertAlign w:val="subscript"/>
        </w:rPr>
        <w:t>3</w:t>
      </w:r>
      <w:r w:rsidRPr="00B20EBB">
        <w:t xml:space="preserve"> </w:t>
      </w:r>
      <w:r w:rsidR="00B20EBB">
        <w:t xml:space="preserve">for some industry sectors </w:t>
      </w:r>
      <w:r w:rsidRPr="00B20EBB">
        <w:t xml:space="preserve">(for example </w:t>
      </w:r>
      <w:r w:rsidR="00B20EBB" w:rsidRPr="00B20EBB">
        <w:t xml:space="preserve">in the section on </w:t>
      </w:r>
      <w:r w:rsidRPr="00B20EBB">
        <w:t>fuel oil combustion)</w:t>
      </w:r>
      <w:r w:rsidR="00CB1112" w:rsidRPr="00B20EBB">
        <w:rPr>
          <w:vertAlign w:val="subscript"/>
        </w:rPr>
        <w:t>;</w:t>
      </w:r>
    </w:p>
    <w:p w:rsidR="00D80901" w:rsidRDefault="00D80901" w:rsidP="0097531E">
      <w:pPr>
        <w:pStyle w:val="ListParagraph"/>
        <w:numPr>
          <w:ilvl w:val="0"/>
          <w:numId w:val="50"/>
        </w:numPr>
        <w:spacing w:after="120"/>
      </w:pPr>
      <w:r>
        <w:t>Communication with inventory compilers</w:t>
      </w:r>
      <w:r w:rsidR="00CB1112">
        <w:t>;</w:t>
      </w:r>
    </w:p>
    <w:p w:rsidR="00C33890" w:rsidRDefault="00D80901" w:rsidP="0097531E">
      <w:pPr>
        <w:pStyle w:val="ListParagraph"/>
        <w:numPr>
          <w:ilvl w:val="0"/>
          <w:numId w:val="50"/>
        </w:numPr>
        <w:spacing w:after="120"/>
        <w:ind w:left="714" w:hanging="357"/>
      </w:pPr>
      <w:r>
        <w:t>Communication with the TFEIP expert panels</w:t>
      </w:r>
      <w:r w:rsidR="00CB1112">
        <w:t>.</w:t>
      </w:r>
    </w:p>
    <w:p w:rsidR="00C33890" w:rsidRPr="00C33890" w:rsidRDefault="00C33890" w:rsidP="0097531E">
      <w:pPr>
        <w:pStyle w:val="ListParagraph"/>
        <w:numPr>
          <w:ilvl w:val="0"/>
          <w:numId w:val="48"/>
        </w:numPr>
        <w:spacing w:after="120"/>
        <w:rPr>
          <w:b/>
        </w:rPr>
      </w:pPr>
      <w:r w:rsidRPr="00C33890">
        <w:rPr>
          <w:b/>
        </w:rPr>
        <w:t>Your views</w:t>
      </w:r>
    </w:p>
    <w:p w:rsidR="00C33890" w:rsidRDefault="00C33890" w:rsidP="0097531E">
      <w:r>
        <w:t>Your views are sought on the following key issues:</w:t>
      </w:r>
    </w:p>
    <w:p w:rsidR="00D80901" w:rsidRDefault="009943AE" w:rsidP="0097531E">
      <w:pPr>
        <w:pStyle w:val="ListParagraph"/>
        <w:numPr>
          <w:ilvl w:val="0"/>
          <w:numId w:val="49"/>
        </w:numPr>
        <w:spacing w:after="120"/>
      </w:pPr>
      <w:r>
        <w:t>Is the described approach suitable to meeting the objectives of the sub-task</w:t>
      </w:r>
      <w:r w:rsidR="00810EE0">
        <w:t>;</w:t>
      </w:r>
    </w:p>
    <w:p w:rsidR="00D80901" w:rsidRDefault="009943AE" w:rsidP="0097531E">
      <w:pPr>
        <w:pStyle w:val="ListParagraph"/>
        <w:numPr>
          <w:ilvl w:val="0"/>
          <w:numId w:val="49"/>
        </w:numPr>
        <w:spacing w:after="120"/>
      </w:pPr>
      <w:r>
        <w:t>Are you aware of any specific cases where inventory teams have aimed to differentiate SO</w:t>
      </w:r>
      <w:r w:rsidRPr="009943AE">
        <w:rPr>
          <w:vertAlign w:val="subscript"/>
        </w:rPr>
        <w:t>x</w:t>
      </w:r>
      <w:r>
        <w:t xml:space="preserve"> and SO</w:t>
      </w:r>
      <w:r w:rsidRPr="009943AE">
        <w:rPr>
          <w:vertAlign w:val="subscript"/>
        </w:rPr>
        <w:t>2</w:t>
      </w:r>
      <w:r w:rsidR="00810EE0">
        <w:rPr>
          <w:vertAlign w:val="subscript"/>
        </w:rPr>
        <w:t>;</w:t>
      </w:r>
    </w:p>
    <w:p w:rsidR="00C33890" w:rsidRDefault="009943AE" w:rsidP="0097531E">
      <w:pPr>
        <w:pStyle w:val="ListParagraph"/>
        <w:numPr>
          <w:ilvl w:val="0"/>
          <w:numId w:val="49"/>
        </w:numPr>
        <w:spacing w:after="120"/>
      </w:pPr>
      <w:r>
        <w:t xml:space="preserve">Opinion </w:t>
      </w:r>
      <w:r w:rsidR="001913A8">
        <w:t xml:space="preserve">and data </w:t>
      </w:r>
      <w:r>
        <w:t>on the importance of r</w:t>
      </w:r>
      <w:r w:rsidR="000412C2">
        <w:t>educed sulphur as a component of</w:t>
      </w:r>
      <w:r>
        <w:t xml:space="preserve"> overall </w:t>
      </w:r>
      <w:r w:rsidR="000412C2">
        <w:t xml:space="preserve">sulphur </w:t>
      </w:r>
      <w:r>
        <w:t>emissions</w:t>
      </w:r>
      <w:r w:rsidR="00810EE0">
        <w:t>;</w:t>
      </w:r>
    </w:p>
    <w:p w:rsidR="009943AE" w:rsidRDefault="009943AE" w:rsidP="0097531E">
      <w:pPr>
        <w:pStyle w:val="ListParagraph"/>
        <w:numPr>
          <w:ilvl w:val="0"/>
          <w:numId w:val="49"/>
        </w:numPr>
        <w:spacing w:after="120"/>
        <w:ind w:left="714" w:hanging="357"/>
      </w:pPr>
      <w:r>
        <w:t>Are there are specific stakeholders other than the Expert Panel who you feel would be important to include</w:t>
      </w:r>
      <w:r w:rsidR="00810EE0">
        <w:t>.</w:t>
      </w:r>
    </w:p>
    <w:p w:rsidR="00C33890" w:rsidRPr="00C33890" w:rsidRDefault="00C33890" w:rsidP="0097531E">
      <w:pPr>
        <w:pStyle w:val="ListParagraph"/>
        <w:numPr>
          <w:ilvl w:val="0"/>
          <w:numId w:val="48"/>
        </w:numPr>
        <w:spacing w:after="120"/>
        <w:rPr>
          <w:b/>
        </w:rPr>
      </w:pPr>
      <w:r w:rsidRPr="00C33890">
        <w:rPr>
          <w:b/>
        </w:rPr>
        <w:t>Consultation programme</w:t>
      </w:r>
    </w:p>
    <w:p w:rsidR="005567E6" w:rsidRDefault="00DE05FD" w:rsidP="0097531E">
      <w:r>
        <w:t>An i</w:t>
      </w:r>
      <w:r w:rsidR="00C33890">
        <w:t xml:space="preserve">ntroductory discussion has been held with the TFEIP management group at their meeting on </w:t>
      </w:r>
      <w:r>
        <w:t>11</w:t>
      </w:r>
      <w:r w:rsidR="00C33890">
        <w:t xml:space="preserve"> February 2015.  </w:t>
      </w:r>
      <w:r>
        <w:t>Consultation with TFEIP members is planned to take place during the TFEIP meeting</w:t>
      </w:r>
      <w:r w:rsidR="00D53752">
        <w:t xml:space="preserve"> and workshop in May 2015.  Following this, the project team will develop draft methodologies and Guidebook text.  This will be circulated for consultation in late 2015, working with the TFEIP Expert Panel co-chairs.  </w:t>
      </w:r>
    </w:p>
    <w:p w:rsidR="00D53752" w:rsidRDefault="00D53752" w:rsidP="0097531E">
      <w:r>
        <w:t>Thank you for your co-operation with this process.</w:t>
      </w:r>
    </w:p>
    <w:p w:rsidR="0013701D" w:rsidRPr="007F5D73" w:rsidRDefault="005567E6" w:rsidP="0097531E">
      <w:r>
        <w:t xml:space="preserve">Date: </w:t>
      </w:r>
      <w:r w:rsidR="0013701D">
        <w:t>24</w:t>
      </w:r>
      <w:r w:rsidR="00DE05EF">
        <w:t xml:space="preserve"> April </w:t>
      </w:r>
      <w:r>
        <w:t>2015</w:t>
      </w:r>
      <w:r>
        <w:tab/>
      </w:r>
      <w:r>
        <w:tab/>
        <w:t xml:space="preserve">Version no. </w:t>
      </w:r>
      <w:r w:rsidR="00DE05EF">
        <w:t>0</w:t>
      </w:r>
      <w:r w:rsidR="0013701D">
        <w:t>3</w:t>
      </w:r>
      <w:r>
        <w:tab/>
      </w:r>
      <w:r>
        <w:tab/>
        <w:t xml:space="preserve">Issue no. </w:t>
      </w:r>
      <w:r w:rsidR="0013701D">
        <w:t>03</w:t>
      </w:r>
    </w:p>
    <w:sectPr w:rsidR="0013701D" w:rsidRPr="007F5D73" w:rsidSect="00DE05FD">
      <w:headerReference w:type="default" r:id="rId14"/>
      <w:footerReference w:type="default" r:id="rId15"/>
      <w:type w:val="continuous"/>
      <w:pgSz w:w="11906" w:h="16838" w:code="9"/>
      <w:pgMar w:top="1560" w:right="1416" w:bottom="1021" w:left="1701" w:header="964" w:footer="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B73C76" w15:done="0"/>
  <w15:commentEx w15:paraId="4F974E09" w15:done="0"/>
  <w15:commentEx w15:paraId="7A99A0EF" w15:done="0"/>
  <w15:commentEx w15:paraId="72BFDFB7" w15:done="0"/>
  <w15:commentEx w15:paraId="45F66917" w15:done="0"/>
  <w15:commentEx w15:paraId="192A69B4" w15:done="0"/>
  <w15:commentEx w15:paraId="0B25E9C6" w15:done="0"/>
  <w15:commentEx w15:paraId="4885FA11" w15:done="0"/>
  <w15:commentEx w15:paraId="56D72D4D" w15:done="0"/>
  <w15:commentEx w15:paraId="2FCFA6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91" w:rsidRDefault="00637E91">
      <w:r>
        <w:separator/>
      </w:r>
    </w:p>
  </w:endnote>
  <w:endnote w:type="continuationSeparator" w:id="0">
    <w:p w:rsidR="00637E91" w:rsidRDefault="0063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FD" w:rsidRPr="00C32000" w:rsidRDefault="00DE05FD" w:rsidP="00DE05FD">
    <w:pPr>
      <w:pStyle w:val="Footer"/>
      <w:pBdr>
        <w:top w:val="single" w:sz="18" w:space="1" w:color="469C23" w:themeColor="text2"/>
      </w:pBdr>
      <w:tabs>
        <w:tab w:val="clear" w:pos="4153"/>
        <w:tab w:val="clear" w:pos="8306"/>
      </w:tabs>
      <w:jc w:val="right"/>
      <w:rPr>
        <w:sz w:val="14"/>
      </w:rPr>
    </w:pPr>
    <w:r>
      <w:rPr>
        <w:rStyle w:val="PageNumber"/>
      </w:rPr>
      <w:t xml:space="preserve">Ricardo-AEA, </w:t>
    </w:r>
    <w:proofErr w:type="spellStart"/>
    <w:r>
      <w:rPr>
        <w:rStyle w:val="PageNumber"/>
      </w:rPr>
      <w:t>Aether</w:t>
    </w:r>
    <w:proofErr w:type="spellEnd"/>
    <w:r>
      <w:rPr>
        <w:rStyle w:val="PageNumber"/>
      </w:rPr>
      <w:t xml:space="preserve">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0E07A9">
      <w:rPr>
        <w:rStyle w:val="PageNumber"/>
      </w:rPr>
      <w:fldChar w:fldCharType="begin"/>
    </w:r>
    <w:r>
      <w:rPr>
        <w:rStyle w:val="PageNumber"/>
      </w:rPr>
      <w:instrText xml:space="preserve"> PAGE </w:instrText>
    </w:r>
    <w:r w:rsidR="000E07A9">
      <w:rPr>
        <w:rStyle w:val="PageNumber"/>
      </w:rPr>
      <w:fldChar w:fldCharType="separate"/>
    </w:r>
    <w:r w:rsidR="00961002">
      <w:rPr>
        <w:rStyle w:val="PageNumber"/>
        <w:noProof/>
      </w:rPr>
      <w:t>1</w:t>
    </w:r>
    <w:r w:rsidR="000E07A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EF" w:rsidRPr="00C32000" w:rsidRDefault="00DE05FD" w:rsidP="0003440B">
    <w:pPr>
      <w:pStyle w:val="Footer"/>
      <w:pBdr>
        <w:top w:val="single" w:sz="18" w:space="1" w:color="469C23" w:themeColor="text2"/>
      </w:pBdr>
      <w:tabs>
        <w:tab w:val="clear" w:pos="4153"/>
        <w:tab w:val="clear" w:pos="8306"/>
      </w:tabs>
      <w:jc w:val="right"/>
      <w:rPr>
        <w:sz w:val="14"/>
      </w:rPr>
    </w:pPr>
    <w:r>
      <w:rPr>
        <w:rStyle w:val="PageNumber"/>
      </w:rPr>
      <w:t xml:space="preserve">Ricardo-AEA, </w:t>
    </w:r>
    <w:proofErr w:type="spellStart"/>
    <w:r>
      <w:rPr>
        <w:rStyle w:val="PageNumber"/>
      </w:rPr>
      <w:t>Aether</w:t>
    </w:r>
    <w:proofErr w:type="spellEnd"/>
    <w:r>
      <w:rPr>
        <w:rStyle w:val="PageNumber"/>
      </w:rPr>
      <w:t xml:space="preserve"> and AMEC Foster Wheeler</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0E07A9">
      <w:rPr>
        <w:rStyle w:val="PageNumber"/>
      </w:rPr>
      <w:fldChar w:fldCharType="begin"/>
    </w:r>
    <w:r w:rsidR="007D3FEF">
      <w:rPr>
        <w:rStyle w:val="PageNumber"/>
      </w:rPr>
      <w:instrText xml:space="preserve"> PAGE </w:instrText>
    </w:r>
    <w:r w:rsidR="000E07A9">
      <w:rPr>
        <w:rStyle w:val="PageNumber"/>
      </w:rPr>
      <w:fldChar w:fldCharType="separate"/>
    </w:r>
    <w:r w:rsidR="00961002">
      <w:rPr>
        <w:rStyle w:val="PageNumber"/>
        <w:noProof/>
      </w:rPr>
      <w:t>2</w:t>
    </w:r>
    <w:r w:rsidR="000E07A9">
      <w:rPr>
        <w:rStyle w:val="PageNumber"/>
      </w:rPr>
      <w:fldChar w:fldCharType="end"/>
    </w:r>
  </w:p>
  <w:p w:rsidR="007D3FEF" w:rsidRDefault="007D3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91" w:rsidRDefault="00637E91">
      <w:r>
        <w:separator/>
      </w:r>
    </w:p>
  </w:footnote>
  <w:footnote w:type="continuationSeparator" w:id="0">
    <w:p w:rsidR="00637E91" w:rsidRDefault="0063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EF" w:rsidRDefault="007D3FEF">
    <w:pPr>
      <w:pStyle w:val="Header"/>
      <w:tabs>
        <w:tab w:val="center" w:pos="9000"/>
      </w:tabs>
    </w:pPr>
    <w:r>
      <w:t xml:space="preserve">Report title </w:t>
    </w:r>
    <w:r>
      <w:tab/>
      <w:t>Restricted – Commercial</w:t>
    </w:r>
  </w:p>
  <w:p w:rsidR="007D3FEF" w:rsidRDefault="007D3FEF">
    <w:pPr>
      <w:pStyle w:val="Header"/>
    </w:pPr>
    <w:r>
      <w:tab/>
      <w:t>AEA/ED00000/Issue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EF" w:rsidRDefault="007D3FEF" w:rsidP="008D0D83">
    <w:pPr>
      <w:pStyle w:val="Header"/>
      <w:ind w:right="8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EF" w:rsidRDefault="007D3FEF">
    <w:pPr>
      <w:pStyle w:val="Header"/>
    </w:pPr>
    <w:r>
      <w:rPr>
        <w:noProof/>
        <w:lang w:eastAsia="en-GB"/>
      </w:rPr>
      <w:drawing>
        <wp:anchor distT="0" distB="0" distL="114300" distR="114300" simplePos="0" relativeHeight="251697152" behindDoc="1" locked="0" layoutInCell="1" allowOverlap="1" wp14:anchorId="1756A834" wp14:editId="727F9B58">
          <wp:simplePos x="0" y="0"/>
          <wp:positionH relativeFrom="page">
            <wp:align>right</wp:align>
          </wp:positionH>
          <wp:positionV relativeFrom="page">
            <wp:align>top</wp:align>
          </wp:positionV>
          <wp:extent cx="1753200" cy="91379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w.HM-MARKETING\Desktop\R-AEA_letterhead_for_word_Page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53200" cy="91379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EF" w:rsidRPr="006F4DB1" w:rsidRDefault="00551FE8" w:rsidP="0003440B">
    <w:pPr>
      <w:pStyle w:val="Header"/>
      <w:pBdr>
        <w:bottom w:val="single" w:sz="18" w:space="1" w:color="469C23" w:themeColor="text2"/>
      </w:pBdr>
      <w:jc w:val="right"/>
      <w:rPr>
        <w:b/>
        <w:sz w:val="18"/>
        <w:szCs w:val="20"/>
      </w:rPr>
    </w:pPr>
    <w:r w:rsidRPr="00551FE8">
      <w:rPr>
        <w:b/>
        <w:sz w:val="18"/>
        <w:szCs w:val="20"/>
      </w:rPr>
      <w:t xml:space="preserve">Continued improvements of inventory methodologies: Task </w:t>
    </w:r>
    <w:r>
      <w:rPr>
        <w:b/>
        <w:sz w:val="18"/>
        <w:szCs w:val="20"/>
      </w:rPr>
      <w:t>4.</w:t>
    </w:r>
    <w:r w:rsidRPr="00551FE8">
      <w:rPr>
        <w:b/>
        <w:sz w:val="18"/>
        <w:szCs w:val="20"/>
      </w:rPr>
      <w:t>1 Consultation Paper</w:t>
    </w:r>
  </w:p>
  <w:p w:rsidR="007D3FEF" w:rsidRDefault="007D3F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nsid w:val="00294F6A"/>
    <w:multiLevelType w:val="hybridMultilevel"/>
    <w:tmpl w:val="9DC04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915B47"/>
    <w:multiLevelType w:val="hybridMultilevel"/>
    <w:tmpl w:val="FE64C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C6864"/>
    <w:multiLevelType w:val="hybridMultilevel"/>
    <w:tmpl w:val="11C62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096400"/>
    <w:multiLevelType w:val="hybridMultilevel"/>
    <w:tmpl w:val="2E7C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4679CE"/>
    <w:multiLevelType w:val="hybridMultilevel"/>
    <w:tmpl w:val="6938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161DC"/>
    <w:multiLevelType w:val="hybridMultilevel"/>
    <w:tmpl w:val="B094AD8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975EB"/>
    <w:multiLevelType w:val="multilevel"/>
    <w:tmpl w:val="8B2820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DB14BB4"/>
    <w:multiLevelType w:val="hybridMultilevel"/>
    <w:tmpl w:val="2D846B92"/>
    <w:lvl w:ilvl="0" w:tplc="A0BA7F0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4D1643"/>
    <w:multiLevelType w:val="hybridMultilevel"/>
    <w:tmpl w:val="7886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9010D8"/>
    <w:multiLevelType w:val="hybridMultilevel"/>
    <w:tmpl w:val="ACD4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2429BD"/>
    <w:multiLevelType w:val="hybridMultilevel"/>
    <w:tmpl w:val="47D2A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917393"/>
    <w:multiLevelType w:val="hybridMultilevel"/>
    <w:tmpl w:val="3A2E5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9D53CE"/>
    <w:multiLevelType w:val="hybridMultilevel"/>
    <w:tmpl w:val="2430B9FE"/>
    <w:lvl w:ilvl="0" w:tplc="0809000F">
      <w:start w:val="1"/>
      <w:numFmt w:val="decimal"/>
      <w:lvlText w:val="%1."/>
      <w:lvlJc w:val="left"/>
      <w:pPr>
        <w:ind w:left="720" w:hanging="360"/>
      </w:pPr>
      <w:rPr>
        <w:rFonts w:hint="default"/>
      </w:rPr>
    </w:lvl>
    <w:lvl w:ilvl="1" w:tplc="C31A66F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6196F"/>
    <w:multiLevelType w:val="hybridMultilevel"/>
    <w:tmpl w:val="BDD41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1997268"/>
    <w:multiLevelType w:val="hybridMultilevel"/>
    <w:tmpl w:val="89C4C6CE"/>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5">
    <w:nsid w:val="349D2989"/>
    <w:multiLevelType w:val="multilevel"/>
    <w:tmpl w:val="642696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232C2C"/>
    <w:multiLevelType w:val="multilevel"/>
    <w:tmpl w:val="B3FE98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DF433E"/>
    <w:multiLevelType w:val="hybridMultilevel"/>
    <w:tmpl w:val="EE70C1E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04450A"/>
    <w:multiLevelType w:val="hybridMultilevel"/>
    <w:tmpl w:val="BBF64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8F7D7B"/>
    <w:multiLevelType w:val="hybridMultilevel"/>
    <w:tmpl w:val="504E4F3A"/>
    <w:lvl w:ilvl="0" w:tplc="1CCC1D2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D7E57BF"/>
    <w:multiLevelType w:val="hybridMultilevel"/>
    <w:tmpl w:val="279A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895C37"/>
    <w:multiLevelType w:val="hybridMultilevel"/>
    <w:tmpl w:val="EC2E5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987799"/>
    <w:multiLevelType w:val="hybridMultilevel"/>
    <w:tmpl w:val="68F4D0E6"/>
    <w:lvl w:ilvl="0" w:tplc="EACC2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A5F75F9"/>
    <w:multiLevelType w:val="hybridMultilevel"/>
    <w:tmpl w:val="4908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947C4D"/>
    <w:multiLevelType w:val="hybridMultilevel"/>
    <w:tmpl w:val="AE88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AB3D66"/>
    <w:multiLevelType w:val="hybridMultilevel"/>
    <w:tmpl w:val="C29A3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D63C1C"/>
    <w:multiLevelType w:val="hybridMultilevel"/>
    <w:tmpl w:val="2396AECC"/>
    <w:lvl w:ilvl="0" w:tplc="5B9E35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00574A"/>
    <w:multiLevelType w:val="hybridMultilevel"/>
    <w:tmpl w:val="1E16B6B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F6563"/>
    <w:multiLevelType w:val="hybridMultilevel"/>
    <w:tmpl w:val="84EE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3242C4"/>
    <w:multiLevelType w:val="hybridMultilevel"/>
    <w:tmpl w:val="52E0D36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7E23178"/>
    <w:multiLevelType w:val="hybridMultilevel"/>
    <w:tmpl w:val="2DD6C8A8"/>
    <w:lvl w:ilvl="0" w:tplc="9036EFF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CC41E83"/>
    <w:multiLevelType w:val="hybridMultilevel"/>
    <w:tmpl w:val="04A22EE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515DCC"/>
    <w:multiLevelType w:val="hybridMultilevel"/>
    <w:tmpl w:val="6C40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170B2B"/>
    <w:multiLevelType w:val="hybridMultilevel"/>
    <w:tmpl w:val="F820665E"/>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FB4846"/>
    <w:multiLevelType w:val="hybridMultilevel"/>
    <w:tmpl w:val="B9B01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382D90"/>
    <w:multiLevelType w:val="hybridMultilevel"/>
    <w:tmpl w:val="49B64512"/>
    <w:lvl w:ilvl="0" w:tplc="A0BA7F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0C0F48"/>
    <w:multiLevelType w:val="hybridMultilevel"/>
    <w:tmpl w:val="F7FC19BE"/>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67185A00"/>
    <w:multiLevelType w:val="hybridMultilevel"/>
    <w:tmpl w:val="98C2E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9122A02"/>
    <w:multiLevelType w:val="hybridMultilevel"/>
    <w:tmpl w:val="B64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6D7264"/>
    <w:multiLevelType w:val="hybridMultilevel"/>
    <w:tmpl w:val="CEAA09DE"/>
    <w:lvl w:ilvl="0" w:tplc="0F42A9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B747EB1"/>
    <w:multiLevelType w:val="hybridMultilevel"/>
    <w:tmpl w:val="4622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B260F9"/>
    <w:multiLevelType w:val="hybridMultilevel"/>
    <w:tmpl w:val="4EA43FB2"/>
    <w:lvl w:ilvl="0" w:tplc="549A2B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584928"/>
    <w:multiLevelType w:val="multilevel"/>
    <w:tmpl w:val="6A90B0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06F337F"/>
    <w:multiLevelType w:val="hybridMultilevel"/>
    <w:tmpl w:val="527A69D2"/>
    <w:lvl w:ilvl="0" w:tplc="CE123D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2B0085"/>
    <w:multiLevelType w:val="hybridMultilevel"/>
    <w:tmpl w:val="459E331E"/>
    <w:lvl w:ilvl="0" w:tplc="1CCC1D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79176B"/>
    <w:multiLevelType w:val="hybridMultilevel"/>
    <w:tmpl w:val="450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576C9A"/>
    <w:multiLevelType w:val="hybridMultilevel"/>
    <w:tmpl w:val="31C4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D70C77"/>
    <w:multiLevelType w:val="hybridMultilevel"/>
    <w:tmpl w:val="D9B4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F30423"/>
    <w:multiLevelType w:val="multilevel"/>
    <w:tmpl w:val="BCC6A8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44"/>
  </w:num>
  <w:num w:numId="2">
    <w:abstractNumId w:val="19"/>
  </w:num>
  <w:num w:numId="3">
    <w:abstractNumId w:val="6"/>
  </w:num>
  <w:num w:numId="4">
    <w:abstractNumId w:val="30"/>
  </w:num>
  <w:num w:numId="5">
    <w:abstractNumId w:val="45"/>
  </w:num>
  <w:num w:numId="6">
    <w:abstractNumId w:val="2"/>
  </w:num>
  <w:num w:numId="7">
    <w:abstractNumId w:val="29"/>
  </w:num>
  <w:num w:numId="8">
    <w:abstractNumId w:val="47"/>
  </w:num>
  <w:num w:numId="9">
    <w:abstractNumId w:val="20"/>
  </w:num>
  <w:num w:numId="10">
    <w:abstractNumId w:val="32"/>
  </w:num>
  <w:num w:numId="11">
    <w:abstractNumId w:val="7"/>
  </w:num>
  <w:num w:numId="12">
    <w:abstractNumId w:val="1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
  </w:num>
  <w:num w:numId="16">
    <w:abstractNumId w:val="0"/>
  </w:num>
  <w:num w:numId="17">
    <w:abstractNumId w:val="25"/>
  </w:num>
  <w:num w:numId="18">
    <w:abstractNumId w:val="40"/>
  </w:num>
  <w:num w:numId="19">
    <w:abstractNumId w:val="28"/>
  </w:num>
  <w:num w:numId="20">
    <w:abstractNumId w:val="38"/>
  </w:num>
  <w:num w:numId="21">
    <w:abstractNumId w:val="33"/>
  </w:num>
  <w:num w:numId="22">
    <w:abstractNumId w:val="42"/>
  </w:num>
  <w:num w:numId="23">
    <w:abstractNumId w:val="46"/>
  </w:num>
  <w:num w:numId="24">
    <w:abstractNumId w:val="24"/>
  </w:num>
  <w:num w:numId="25">
    <w:abstractNumId w:val="34"/>
  </w:num>
  <w:num w:numId="26">
    <w:abstractNumId w:val="16"/>
  </w:num>
  <w:num w:numId="27">
    <w:abstractNumId w:val="15"/>
  </w:num>
  <w:num w:numId="28">
    <w:abstractNumId w:val="36"/>
  </w:num>
  <w:num w:numId="29">
    <w:abstractNumId w:val="9"/>
  </w:num>
  <w:num w:numId="30">
    <w:abstractNumId w:val="18"/>
  </w:num>
  <w:num w:numId="31">
    <w:abstractNumId w:val="13"/>
  </w:num>
  <w:num w:numId="32">
    <w:abstractNumId w:val="43"/>
  </w:num>
  <w:num w:numId="33">
    <w:abstractNumId w:val="39"/>
  </w:num>
  <w:num w:numId="34">
    <w:abstractNumId w:val="35"/>
  </w:num>
  <w:num w:numId="35">
    <w:abstractNumId w:val="22"/>
  </w:num>
  <w:num w:numId="36">
    <w:abstractNumId w:val="41"/>
  </w:num>
  <w:num w:numId="37">
    <w:abstractNumId w:val="8"/>
  </w:num>
  <w:num w:numId="38">
    <w:abstractNumId w:val="31"/>
  </w:num>
  <w:num w:numId="39">
    <w:abstractNumId w:val="14"/>
  </w:num>
  <w:num w:numId="40">
    <w:abstractNumId w:val="5"/>
  </w:num>
  <w:num w:numId="41">
    <w:abstractNumId w:val="17"/>
  </w:num>
  <w:num w:numId="42">
    <w:abstractNumId w:val="10"/>
  </w:num>
  <w:num w:numId="43">
    <w:abstractNumId w:val="4"/>
  </w:num>
  <w:num w:numId="44">
    <w:abstractNumId w:val="11"/>
  </w:num>
  <w:num w:numId="45">
    <w:abstractNumId w:val="48"/>
  </w:num>
  <w:num w:numId="46">
    <w:abstractNumId w:val="23"/>
  </w:num>
  <w:num w:numId="47">
    <w:abstractNumId w:val="3"/>
  </w:num>
  <w:num w:numId="48">
    <w:abstractNumId w:val="37"/>
  </w:num>
  <w:num w:numId="49">
    <w:abstractNumId w:val="26"/>
  </w:num>
  <w:num w:numId="50">
    <w:abstractNumId w:val="2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Adams">
    <w15:presenceInfo w15:providerId="AD" w15:userId="S-1-5-21-60974162-2072338585-636688714-6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trackRevisions/>
  <w:styleLockQFSet/>
  <w:defaultTabStop w:val="720"/>
  <w:drawingGridHorizontalSpacing w:val="100"/>
  <w:displayHorizontalDrawingGridEvery w:val="2"/>
  <w:noPunctuationKerning/>
  <w:characterSpacingControl w:val="doNotCompress"/>
  <w:hdrShapeDefaults>
    <o:shapedefaults v:ext="edit" spidmax="2049" style="mso-position-vertical-relative:line" o:allowincell="f" fillcolor="green">
      <v:fill color="green"/>
      <v:stroke weight="1pt"/>
      <v:shadow on="t" type="perspective" color="#4e6128" offset="1pt" offset2="-1pt"/>
      <v:textbox style="mso-fit-shape-to-text:t" inset="1.5mm,1.5mm,1.5mm,1.5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336A0"/>
    <w:rsid w:val="00000A8C"/>
    <w:rsid w:val="00005217"/>
    <w:rsid w:val="00006896"/>
    <w:rsid w:val="00011B45"/>
    <w:rsid w:val="000135D6"/>
    <w:rsid w:val="00014143"/>
    <w:rsid w:val="00025272"/>
    <w:rsid w:val="0003080C"/>
    <w:rsid w:val="0003440B"/>
    <w:rsid w:val="00034BDD"/>
    <w:rsid w:val="000354F9"/>
    <w:rsid w:val="00036CD1"/>
    <w:rsid w:val="00037825"/>
    <w:rsid w:val="000412C2"/>
    <w:rsid w:val="00041CFF"/>
    <w:rsid w:val="00041F4E"/>
    <w:rsid w:val="000430F0"/>
    <w:rsid w:val="00043D4B"/>
    <w:rsid w:val="00057534"/>
    <w:rsid w:val="00067EF9"/>
    <w:rsid w:val="000822B5"/>
    <w:rsid w:val="00086BC4"/>
    <w:rsid w:val="000950B2"/>
    <w:rsid w:val="000A62AF"/>
    <w:rsid w:val="000A63D3"/>
    <w:rsid w:val="000C0510"/>
    <w:rsid w:val="000C594A"/>
    <w:rsid w:val="000D2056"/>
    <w:rsid w:val="000D3ECC"/>
    <w:rsid w:val="000E07A9"/>
    <w:rsid w:val="000F18CF"/>
    <w:rsid w:val="000F18F3"/>
    <w:rsid w:val="000F2A31"/>
    <w:rsid w:val="000F2AE0"/>
    <w:rsid w:val="000F3765"/>
    <w:rsid w:val="000F6533"/>
    <w:rsid w:val="00105689"/>
    <w:rsid w:val="00113254"/>
    <w:rsid w:val="0011394A"/>
    <w:rsid w:val="00115CEF"/>
    <w:rsid w:val="00116B15"/>
    <w:rsid w:val="00122D61"/>
    <w:rsid w:val="00124B8C"/>
    <w:rsid w:val="00133950"/>
    <w:rsid w:val="0013701D"/>
    <w:rsid w:val="001372DB"/>
    <w:rsid w:val="00137D72"/>
    <w:rsid w:val="0014053E"/>
    <w:rsid w:val="00141C2D"/>
    <w:rsid w:val="001438A5"/>
    <w:rsid w:val="00143D46"/>
    <w:rsid w:val="00146AE4"/>
    <w:rsid w:val="001506E8"/>
    <w:rsid w:val="00153200"/>
    <w:rsid w:val="00160591"/>
    <w:rsid w:val="0018346E"/>
    <w:rsid w:val="00184DF1"/>
    <w:rsid w:val="00185573"/>
    <w:rsid w:val="001863A6"/>
    <w:rsid w:val="00190B9C"/>
    <w:rsid w:val="001913A8"/>
    <w:rsid w:val="001915AF"/>
    <w:rsid w:val="00191846"/>
    <w:rsid w:val="001A15FC"/>
    <w:rsid w:val="001A1801"/>
    <w:rsid w:val="001A6327"/>
    <w:rsid w:val="001A7E50"/>
    <w:rsid w:val="001B3916"/>
    <w:rsid w:val="001B55A9"/>
    <w:rsid w:val="001C5EB8"/>
    <w:rsid w:val="001C660D"/>
    <w:rsid w:val="001D079F"/>
    <w:rsid w:val="001D0AE7"/>
    <w:rsid w:val="001D3223"/>
    <w:rsid w:val="001D525A"/>
    <w:rsid w:val="001D7557"/>
    <w:rsid w:val="001E0B00"/>
    <w:rsid w:val="001F2E7F"/>
    <w:rsid w:val="00215D48"/>
    <w:rsid w:val="002202EF"/>
    <w:rsid w:val="002246B1"/>
    <w:rsid w:val="0023493E"/>
    <w:rsid w:val="00242925"/>
    <w:rsid w:val="002433FA"/>
    <w:rsid w:val="00246225"/>
    <w:rsid w:val="00255E7A"/>
    <w:rsid w:val="002615CB"/>
    <w:rsid w:val="00270C98"/>
    <w:rsid w:val="0027311E"/>
    <w:rsid w:val="00277959"/>
    <w:rsid w:val="002804DE"/>
    <w:rsid w:val="0028132C"/>
    <w:rsid w:val="002A0022"/>
    <w:rsid w:val="002A3466"/>
    <w:rsid w:val="002A3F43"/>
    <w:rsid w:val="002A76C9"/>
    <w:rsid w:val="002B2DD7"/>
    <w:rsid w:val="002C088E"/>
    <w:rsid w:val="002C2471"/>
    <w:rsid w:val="002C336E"/>
    <w:rsid w:val="002D5EBA"/>
    <w:rsid w:val="002E6165"/>
    <w:rsid w:val="002E6778"/>
    <w:rsid w:val="002F1AC8"/>
    <w:rsid w:val="002F6DEB"/>
    <w:rsid w:val="00302AA9"/>
    <w:rsid w:val="00302B87"/>
    <w:rsid w:val="003111EA"/>
    <w:rsid w:val="0031139F"/>
    <w:rsid w:val="00312449"/>
    <w:rsid w:val="003201CF"/>
    <w:rsid w:val="00322026"/>
    <w:rsid w:val="003262F9"/>
    <w:rsid w:val="003278E6"/>
    <w:rsid w:val="00337F9F"/>
    <w:rsid w:val="00341499"/>
    <w:rsid w:val="0034380F"/>
    <w:rsid w:val="00345925"/>
    <w:rsid w:val="0034689A"/>
    <w:rsid w:val="003476D9"/>
    <w:rsid w:val="003532B3"/>
    <w:rsid w:val="003605F2"/>
    <w:rsid w:val="003621B5"/>
    <w:rsid w:val="00362881"/>
    <w:rsid w:val="003719D0"/>
    <w:rsid w:val="00375D04"/>
    <w:rsid w:val="003867CC"/>
    <w:rsid w:val="0039281C"/>
    <w:rsid w:val="0039520B"/>
    <w:rsid w:val="0039751A"/>
    <w:rsid w:val="003B2D75"/>
    <w:rsid w:val="003B49E4"/>
    <w:rsid w:val="003B53C5"/>
    <w:rsid w:val="003C263B"/>
    <w:rsid w:val="003D066E"/>
    <w:rsid w:val="003D11D8"/>
    <w:rsid w:val="003D3B8E"/>
    <w:rsid w:val="003D6652"/>
    <w:rsid w:val="003E1000"/>
    <w:rsid w:val="003E32D8"/>
    <w:rsid w:val="003E44D4"/>
    <w:rsid w:val="003E7CC8"/>
    <w:rsid w:val="003F08DE"/>
    <w:rsid w:val="003F2B0D"/>
    <w:rsid w:val="003F455A"/>
    <w:rsid w:val="00402A06"/>
    <w:rsid w:val="0040310A"/>
    <w:rsid w:val="0040363F"/>
    <w:rsid w:val="00442825"/>
    <w:rsid w:val="004473F8"/>
    <w:rsid w:val="004539C1"/>
    <w:rsid w:val="00457293"/>
    <w:rsid w:val="004642FC"/>
    <w:rsid w:val="004729B7"/>
    <w:rsid w:val="0047720A"/>
    <w:rsid w:val="00482768"/>
    <w:rsid w:val="00491516"/>
    <w:rsid w:val="0049724A"/>
    <w:rsid w:val="004A79CB"/>
    <w:rsid w:val="004B2C23"/>
    <w:rsid w:val="004B382D"/>
    <w:rsid w:val="004B42C4"/>
    <w:rsid w:val="004B6B53"/>
    <w:rsid w:val="004C0CB8"/>
    <w:rsid w:val="004C7ED3"/>
    <w:rsid w:val="004D3035"/>
    <w:rsid w:val="004D7CF0"/>
    <w:rsid w:val="004E75A4"/>
    <w:rsid w:val="004F37CD"/>
    <w:rsid w:val="004F74D3"/>
    <w:rsid w:val="005004B2"/>
    <w:rsid w:val="00505CA9"/>
    <w:rsid w:val="00511704"/>
    <w:rsid w:val="0052081E"/>
    <w:rsid w:val="00550250"/>
    <w:rsid w:val="00551FE8"/>
    <w:rsid w:val="005567E6"/>
    <w:rsid w:val="00556F40"/>
    <w:rsid w:val="0056294F"/>
    <w:rsid w:val="005750E5"/>
    <w:rsid w:val="00580F4C"/>
    <w:rsid w:val="00584D07"/>
    <w:rsid w:val="005862D8"/>
    <w:rsid w:val="005927BA"/>
    <w:rsid w:val="005947EC"/>
    <w:rsid w:val="005955DA"/>
    <w:rsid w:val="005A032D"/>
    <w:rsid w:val="005A1870"/>
    <w:rsid w:val="005A1B54"/>
    <w:rsid w:val="005A402B"/>
    <w:rsid w:val="005B2CDE"/>
    <w:rsid w:val="005B51AB"/>
    <w:rsid w:val="005B622E"/>
    <w:rsid w:val="005B693C"/>
    <w:rsid w:val="005D6845"/>
    <w:rsid w:val="005E1630"/>
    <w:rsid w:val="005E4DD5"/>
    <w:rsid w:val="005F4179"/>
    <w:rsid w:val="005F49AD"/>
    <w:rsid w:val="005F6E29"/>
    <w:rsid w:val="00603B53"/>
    <w:rsid w:val="0060432B"/>
    <w:rsid w:val="006121A3"/>
    <w:rsid w:val="006122EF"/>
    <w:rsid w:val="00612594"/>
    <w:rsid w:val="00614476"/>
    <w:rsid w:val="00617A8A"/>
    <w:rsid w:val="006315B8"/>
    <w:rsid w:val="00637E91"/>
    <w:rsid w:val="006448F3"/>
    <w:rsid w:val="00647CD6"/>
    <w:rsid w:val="00655899"/>
    <w:rsid w:val="0065741F"/>
    <w:rsid w:val="00663226"/>
    <w:rsid w:val="006669BC"/>
    <w:rsid w:val="00674897"/>
    <w:rsid w:val="006801A1"/>
    <w:rsid w:val="0068525C"/>
    <w:rsid w:val="00694588"/>
    <w:rsid w:val="0069793A"/>
    <w:rsid w:val="006A7A8A"/>
    <w:rsid w:val="006A7ABE"/>
    <w:rsid w:val="006A7BE4"/>
    <w:rsid w:val="006B4596"/>
    <w:rsid w:val="006B7233"/>
    <w:rsid w:val="006C0F07"/>
    <w:rsid w:val="006C2C6E"/>
    <w:rsid w:val="006C7DF4"/>
    <w:rsid w:val="006D0C65"/>
    <w:rsid w:val="006D40C5"/>
    <w:rsid w:val="006D7160"/>
    <w:rsid w:val="006E4E72"/>
    <w:rsid w:val="006E53E3"/>
    <w:rsid w:val="006E5DC9"/>
    <w:rsid w:val="006F0ADF"/>
    <w:rsid w:val="006F4993"/>
    <w:rsid w:val="006F4DB1"/>
    <w:rsid w:val="006F7367"/>
    <w:rsid w:val="00703458"/>
    <w:rsid w:val="00703589"/>
    <w:rsid w:val="007044C4"/>
    <w:rsid w:val="00706200"/>
    <w:rsid w:val="00706709"/>
    <w:rsid w:val="0071775A"/>
    <w:rsid w:val="00717AB4"/>
    <w:rsid w:val="00723D6E"/>
    <w:rsid w:val="00725A95"/>
    <w:rsid w:val="007409ED"/>
    <w:rsid w:val="00746FA8"/>
    <w:rsid w:val="007504A4"/>
    <w:rsid w:val="0075341B"/>
    <w:rsid w:val="00756040"/>
    <w:rsid w:val="0076543F"/>
    <w:rsid w:val="007675DD"/>
    <w:rsid w:val="0076777E"/>
    <w:rsid w:val="00785D73"/>
    <w:rsid w:val="00790C36"/>
    <w:rsid w:val="00792040"/>
    <w:rsid w:val="00796B9F"/>
    <w:rsid w:val="007A2527"/>
    <w:rsid w:val="007A34BB"/>
    <w:rsid w:val="007B2F53"/>
    <w:rsid w:val="007B5FD6"/>
    <w:rsid w:val="007C0015"/>
    <w:rsid w:val="007C6283"/>
    <w:rsid w:val="007D1E00"/>
    <w:rsid w:val="007D3822"/>
    <w:rsid w:val="007D3FEF"/>
    <w:rsid w:val="007D4369"/>
    <w:rsid w:val="007D62A2"/>
    <w:rsid w:val="007D73C8"/>
    <w:rsid w:val="007E6462"/>
    <w:rsid w:val="007F1A32"/>
    <w:rsid w:val="007F29B3"/>
    <w:rsid w:val="007F5D73"/>
    <w:rsid w:val="00810B8E"/>
    <w:rsid w:val="00810EE0"/>
    <w:rsid w:val="00812D68"/>
    <w:rsid w:val="00817F18"/>
    <w:rsid w:val="00825670"/>
    <w:rsid w:val="008600C8"/>
    <w:rsid w:val="00861B55"/>
    <w:rsid w:val="008638C7"/>
    <w:rsid w:val="00866C22"/>
    <w:rsid w:val="0087045F"/>
    <w:rsid w:val="00875DB3"/>
    <w:rsid w:val="00884827"/>
    <w:rsid w:val="00887028"/>
    <w:rsid w:val="0089329E"/>
    <w:rsid w:val="008A05DD"/>
    <w:rsid w:val="008A0B68"/>
    <w:rsid w:val="008A4DE0"/>
    <w:rsid w:val="008A52CF"/>
    <w:rsid w:val="008A7674"/>
    <w:rsid w:val="008B29E2"/>
    <w:rsid w:val="008C039C"/>
    <w:rsid w:val="008C54BD"/>
    <w:rsid w:val="008C778A"/>
    <w:rsid w:val="008D0D83"/>
    <w:rsid w:val="008D1D3C"/>
    <w:rsid w:val="008D6BAD"/>
    <w:rsid w:val="008E3FED"/>
    <w:rsid w:val="008F3B7C"/>
    <w:rsid w:val="008F6914"/>
    <w:rsid w:val="00901DE0"/>
    <w:rsid w:val="00903D00"/>
    <w:rsid w:val="00910F1C"/>
    <w:rsid w:val="00912535"/>
    <w:rsid w:val="009129E1"/>
    <w:rsid w:val="0091373C"/>
    <w:rsid w:val="00913B41"/>
    <w:rsid w:val="0092231F"/>
    <w:rsid w:val="00926640"/>
    <w:rsid w:val="00931976"/>
    <w:rsid w:val="00933387"/>
    <w:rsid w:val="00933550"/>
    <w:rsid w:val="00935420"/>
    <w:rsid w:val="00937795"/>
    <w:rsid w:val="00950993"/>
    <w:rsid w:val="00953837"/>
    <w:rsid w:val="0095420C"/>
    <w:rsid w:val="00955797"/>
    <w:rsid w:val="00960850"/>
    <w:rsid w:val="00961002"/>
    <w:rsid w:val="0096153F"/>
    <w:rsid w:val="00966C4F"/>
    <w:rsid w:val="00967FF1"/>
    <w:rsid w:val="00970197"/>
    <w:rsid w:val="0097202F"/>
    <w:rsid w:val="0097531E"/>
    <w:rsid w:val="00977B09"/>
    <w:rsid w:val="00980F32"/>
    <w:rsid w:val="00986883"/>
    <w:rsid w:val="009943AE"/>
    <w:rsid w:val="009A762D"/>
    <w:rsid w:val="009B1581"/>
    <w:rsid w:val="009B36DB"/>
    <w:rsid w:val="009B7739"/>
    <w:rsid w:val="009C037D"/>
    <w:rsid w:val="009C0F72"/>
    <w:rsid w:val="009C7478"/>
    <w:rsid w:val="009D1481"/>
    <w:rsid w:val="009D24B0"/>
    <w:rsid w:val="009D4A4E"/>
    <w:rsid w:val="009E5537"/>
    <w:rsid w:val="009F20EC"/>
    <w:rsid w:val="009F5438"/>
    <w:rsid w:val="00A036BF"/>
    <w:rsid w:val="00A03D77"/>
    <w:rsid w:val="00A12013"/>
    <w:rsid w:val="00A16573"/>
    <w:rsid w:val="00A17E1F"/>
    <w:rsid w:val="00A240BD"/>
    <w:rsid w:val="00A2745E"/>
    <w:rsid w:val="00A328F6"/>
    <w:rsid w:val="00A3374A"/>
    <w:rsid w:val="00A33EE9"/>
    <w:rsid w:val="00A362C9"/>
    <w:rsid w:val="00A4184F"/>
    <w:rsid w:val="00A42DB4"/>
    <w:rsid w:val="00A4421D"/>
    <w:rsid w:val="00A50369"/>
    <w:rsid w:val="00A52532"/>
    <w:rsid w:val="00A5664B"/>
    <w:rsid w:val="00A56F5F"/>
    <w:rsid w:val="00A62494"/>
    <w:rsid w:val="00A62DB2"/>
    <w:rsid w:val="00A67059"/>
    <w:rsid w:val="00A7110A"/>
    <w:rsid w:val="00A727A8"/>
    <w:rsid w:val="00A74D34"/>
    <w:rsid w:val="00A753E4"/>
    <w:rsid w:val="00A775F2"/>
    <w:rsid w:val="00A776E4"/>
    <w:rsid w:val="00A77DEF"/>
    <w:rsid w:val="00A81F57"/>
    <w:rsid w:val="00A870C2"/>
    <w:rsid w:val="00A879D3"/>
    <w:rsid w:val="00A93A84"/>
    <w:rsid w:val="00A93BA1"/>
    <w:rsid w:val="00A972B1"/>
    <w:rsid w:val="00AA10E5"/>
    <w:rsid w:val="00AA292D"/>
    <w:rsid w:val="00AA3989"/>
    <w:rsid w:val="00AA7527"/>
    <w:rsid w:val="00AB04E3"/>
    <w:rsid w:val="00AB3ABB"/>
    <w:rsid w:val="00AC4DDC"/>
    <w:rsid w:val="00AE2DA2"/>
    <w:rsid w:val="00AE7157"/>
    <w:rsid w:val="00AF1988"/>
    <w:rsid w:val="00AF28B5"/>
    <w:rsid w:val="00AF507D"/>
    <w:rsid w:val="00AF6E20"/>
    <w:rsid w:val="00B006BF"/>
    <w:rsid w:val="00B015E8"/>
    <w:rsid w:val="00B056E9"/>
    <w:rsid w:val="00B062C4"/>
    <w:rsid w:val="00B10260"/>
    <w:rsid w:val="00B16962"/>
    <w:rsid w:val="00B1768E"/>
    <w:rsid w:val="00B20EBB"/>
    <w:rsid w:val="00B224B5"/>
    <w:rsid w:val="00B308BA"/>
    <w:rsid w:val="00B30D1C"/>
    <w:rsid w:val="00B573D9"/>
    <w:rsid w:val="00B62A11"/>
    <w:rsid w:val="00B7012A"/>
    <w:rsid w:val="00B74018"/>
    <w:rsid w:val="00B84976"/>
    <w:rsid w:val="00B90F0C"/>
    <w:rsid w:val="00B91F30"/>
    <w:rsid w:val="00B96E2F"/>
    <w:rsid w:val="00BA27F1"/>
    <w:rsid w:val="00BA3F52"/>
    <w:rsid w:val="00BB4577"/>
    <w:rsid w:val="00BB6F2F"/>
    <w:rsid w:val="00BB7EE2"/>
    <w:rsid w:val="00BC040D"/>
    <w:rsid w:val="00BC1794"/>
    <w:rsid w:val="00BC1840"/>
    <w:rsid w:val="00BC6A19"/>
    <w:rsid w:val="00BD0842"/>
    <w:rsid w:val="00BD149F"/>
    <w:rsid w:val="00BE0194"/>
    <w:rsid w:val="00BE09B9"/>
    <w:rsid w:val="00BE0D56"/>
    <w:rsid w:val="00BF3B60"/>
    <w:rsid w:val="00BF7410"/>
    <w:rsid w:val="00C07CD9"/>
    <w:rsid w:val="00C11B18"/>
    <w:rsid w:val="00C11EAD"/>
    <w:rsid w:val="00C2227C"/>
    <w:rsid w:val="00C33890"/>
    <w:rsid w:val="00C36B74"/>
    <w:rsid w:val="00C42282"/>
    <w:rsid w:val="00C428AA"/>
    <w:rsid w:val="00C4750F"/>
    <w:rsid w:val="00C517F2"/>
    <w:rsid w:val="00C52786"/>
    <w:rsid w:val="00C52B32"/>
    <w:rsid w:val="00C52D48"/>
    <w:rsid w:val="00C52D5A"/>
    <w:rsid w:val="00C5438E"/>
    <w:rsid w:val="00C620F4"/>
    <w:rsid w:val="00C84508"/>
    <w:rsid w:val="00C84D87"/>
    <w:rsid w:val="00C878AD"/>
    <w:rsid w:val="00C90CB0"/>
    <w:rsid w:val="00C9202F"/>
    <w:rsid w:val="00C92A71"/>
    <w:rsid w:val="00CA2361"/>
    <w:rsid w:val="00CA4346"/>
    <w:rsid w:val="00CA5A60"/>
    <w:rsid w:val="00CA635C"/>
    <w:rsid w:val="00CB1112"/>
    <w:rsid w:val="00CB5456"/>
    <w:rsid w:val="00CB7472"/>
    <w:rsid w:val="00CD0FE2"/>
    <w:rsid w:val="00CD4405"/>
    <w:rsid w:val="00CD6BE3"/>
    <w:rsid w:val="00CE18C8"/>
    <w:rsid w:val="00D21007"/>
    <w:rsid w:val="00D2126D"/>
    <w:rsid w:val="00D36A71"/>
    <w:rsid w:val="00D510C4"/>
    <w:rsid w:val="00D523F0"/>
    <w:rsid w:val="00D53752"/>
    <w:rsid w:val="00D53CF6"/>
    <w:rsid w:val="00D61275"/>
    <w:rsid w:val="00D66C03"/>
    <w:rsid w:val="00D678AE"/>
    <w:rsid w:val="00D67B18"/>
    <w:rsid w:val="00D7041A"/>
    <w:rsid w:val="00D73FEA"/>
    <w:rsid w:val="00D74CFF"/>
    <w:rsid w:val="00D80901"/>
    <w:rsid w:val="00D81FD8"/>
    <w:rsid w:val="00D840CA"/>
    <w:rsid w:val="00D8513D"/>
    <w:rsid w:val="00D90EC3"/>
    <w:rsid w:val="00DA6EF3"/>
    <w:rsid w:val="00DA79E7"/>
    <w:rsid w:val="00DB1DC5"/>
    <w:rsid w:val="00DB7A8F"/>
    <w:rsid w:val="00DC0754"/>
    <w:rsid w:val="00DC172B"/>
    <w:rsid w:val="00DC28A7"/>
    <w:rsid w:val="00DC48DB"/>
    <w:rsid w:val="00DE05EF"/>
    <w:rsid w:val="00DE05FD"/>
    <w:rsid w:val="00DE1177"/>
    <w:rsid w:val="00DE1422"/>
    <w:rsid w:val="00DE1C69"/>
    <w:rsid w:val="00DF00D6"/>
    <w:rsid w:val="00DF09CA"/>
    <w:rsid w:val="00DF4551"/>
    <w:rsid w:val="00DF4B09"/>
    <w:rsid w:val="00DF720F"/>
    <w:rsid w:val="00E00621"/>
    <w:rsid w:val="00E02456"/>
    <w:rsid w:val="00E045D0"/>
    <w:rsid w:val="00E0481C"/>
    <w:rsid w:val="00E065BA"/>
    <w:rsid w:val="00E169C6"/>
    <w:rsid w:val="00E24E89"/>
    <w:rsid w:val="00E26078"/>
    <w:rsid w:val="00E27DED"/>
    <w:rsid w:val="00E30DBE"/>
    <w:rsid w:val="00E336A0"/>
    <w:rsid w:val="00E34C18"/>
    <w:rsid w:val="00E3743F"/>
    <w:rsid w:val="00E41150"/>
    <w:rsid w:val="00E47845"/>
    <w:rsid w:val="00E47DD2"/>
    <w:rsid w:val="00E5009B"/>
    <w:rsid w:val="00E54BBC"/>
    <w:rsid w:val="00E61622"/>
    <w:rsid w:val="00E659D1"/>
    <w:rsid w:val="00E6729D"/>
    <w:rsid w:val="00E67566"/>
    <w:rsid w:val="00E71227"/>
    <w:rsid w:val="00E73BCD"/>
    <w:rsid w:val="00E756F3"/>
    <w:rsid w:val="00E76081"/>
    <w:rsid w:val="00E760EF"/>
    <w:rsid w:val="00E76BC8"/>
    <w:rsid w:val="00E83EE0"/>
    <w:rsid w:val="00E91AB4"/>
    <w:rsid w:val="00E9205F"/>
    <w:rsid w:val="00E92533"/>
    <w:rsid w:val="00EA4C69"/>
    <w:rsid w:val="00EA5E17"/>
    <w:rsid w:val="00EA6FD1"/>
    <w:rsid w:val="00EC24D3"/>
    <w:rsid w:val="00ED0193"/>
    <w:rsid w:val="00ED3920"/>
    <w:rsid w:val="00EE29CE"/>
    <w:rsid w:val="00EE4AA5"/>
    <w:rsid w:val="00EE6688"/>
    <w:rsid w:val="00EF0399"/>
    <w:rsid w:val="00EF0DF4"/>
    <w:rsid w:val="00EF35AB"/>
    <w:rsid w:val="00EF3A9A"/>
    <w:rsid w:val="00EF66A4"/>
    <w:rsid w:val="00F16588"/>
    <w:rsid w:val="00F1690C"/>
    <w:rsid w:val="00F1740B"/>
    <w:rsid w:val="00F17A79"/>
    <w:rsid w:val="00F240CF"/>
    <w:rsid w:val="00F305CF"/>
    <w:rsid w:val="00F3537F"/>
    <w:rsid w:val="00F4245D"/>
    <w:rsid w:val="00F511CC"/>
    <w:rsid w:val="00F5582B"/>
    <w:rsid w:val="00F602AC"/>
    <w:rsid w:val="00F703B5"/>
    <w:rsid w:val="00F74588"/>
    <w:rsid w:val="00F9612D"/>
    <w:rsid w:val="00FA1448"/>
    <w:rsid w:val="00FA1A76"/>
    <w:rsid w:val="00FA71D2"/>
    <w:rsid w:val="00FB6529"/>
    <w:rsid w:val="00FC3677"/>
    <w:rsid w:val="00FC6914"/>
    <w:rsid w:val="00FD1184"/>
    <w:rsid w:val="00FD1379"/>
    <w:rsid w:val="00FE13B9"/>
    <w:rsid w:val="00FF1A63"/>
    <w:rsid w:val="00FF1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incell="f" fillcolor="green">
      <v:fill color="green"/>
      <v:stroke weight="1pt"/>
      <v:shadow on="t" type="perspective" color="#4e6128" offset="1pt" offset2="-1pt"/>
      <v:textbox style="mso-fit-shape-to-text:t" inset="1.5mm,1.5mm,1.5mm,1.5mm"/>
    </o:shapedefaults>
    <o:shapelayout v:ext="edit">
      <o:idmap v:ext="edit" data="1"/>
    </o:shapelayout>
  </w:shapeDefaults>
  <w:decimalSymbol w:val="."/>
  <w:listSeparator w:val=","/>
  <w14:docId w14:val="154E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 w:unhideWhenUsed="0"/>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3"/>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3"/>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3"/>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3"/>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3"/>
      </w:numPr>
      <w:spacing w:before="120"/>
      <w:outlineLvl w:val="4"/>
    </w:pPr>
    <w:rPr>
      <w:b/>
      <w:bCs/>
      <w:iCs/>
      <w:szCs w:val="26"/>
    </w:rPr>
  </w:style>
  <w:style w:type="paragraph" w:styleId="Heading6">
    <w:name w:val="heading 6"/>
    <w:basedOn w:val="Normal"/>
    <w:next w:val="Normal"/>
    <w:semiHidden/>
    <w:unhideWhenUsed/>
    <w:rsid w:val="008D6BAD"/>
    <w:pPr>
      <w:numPr>
        <w:ilvl w:val="5"/>
        <w:numId w:val="3"/>
      </w:numPr>
      <w:spacing w:before="120"/>
      <w:outlineLvl w:val="5"/>
    </w:pPr>
    <w:rPr>
      <w:b/>
      <w:bCs/>
      <w:szCs w:val="22"/>
    </w:rPr>
  </w:style>
  <w:style w:type="paragraph" w:styleId="Heading7">
    <w:name w:val="heading 7"/>
    <w:basedOn w:val="Normal"/>
    <w:next w:val="Normal"/>
    <w:semiHidden/>
    <w:unhideWhenUsed/>
    <w:rsid w:val="008D6BAD"/>
    <w:pPr>
      <w:numPr>
        <w:ilvl w:val="6"/>
        <w:numId w:val="3"/>
      </w:numPr>
      <w:spacing w:before="120"/>
      <w:outlineLvl w:val="6"/>
    </w:pPr>
    <w:rPr>
      <w:b/>
    </w:rPr>
  </w:style>
  <w:style w:type="paragraph" w:styleId="Heading8">
    <w:name w:val="heading 8"/>
    <w:basedOn w:val="Normal"/>
    <w:next w:val="Normal"/>
    <w:semiHidden/>
    <w:unhideWhenUsed/>
    <w:rsid w:val="008D6BAD"/>
    <w:pPr>
      <w:numPr>
        <w:ilvl w:val="7"/>
        <w:numId w:val="3"/>
      </w:numPr>
      <w:spacing w:before="240" w:after="60"/>
      <w:outlineLvl w:val="7"/>
    </w:pPr>
    <w:rPr>
      <w:b/>
      <w:iCs/>
    </w:rPr>
  </w:style>
  <w:style w:type="paragraph" w:styleId="Heading9">
    <w:name w:val="heading 9"/>
    <w:basedOn w:val="Normal"/>
    <w:next w:val="Normal"/>
    <w:semiHidden/>
    <w:unhideWhenUsed/>
    <w:rsid w:val="008D6BAD"/>
    <w:pPr>
      <w:numPr>
        <w:ilvl w:val="8"/>
        <w:numId w:val="3"/>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basedOn w:val="Normal"/>
    <w:next w:val="Normal"/>
    <w:uiPriority w:val="3"/>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basedOn w:val="Normal"/>
    <w:uiPriority w:val="34"/>
    <w:unhideWhenUsed/>
    <w:qFormat/>
    <w:rsid w:val="008D6BAD"/>
    <w:pPr>
      <w:numPr>
        <w:numId w:val="4"/>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 w:unhideWhenUsed="0"/>
    <w:lsdException w:name="annotation reference" w:uiPriority="0"/>
    <w:lsdException w:name="Title" w:semiHidden="0" w:uiPriority="10" w:unhideWhenUsed="0"/>
    <w:lsdException w:name="Default Paragraph Font" w:uiPriority="1"/>
    <w:lsdException w:name="Body Text" w:uiPriority="0"/>
    <w:lsdException w:name="Subtitle" w:uiPriority="1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D6BAD"/>
    <w:pPr>
      <w:spacing w:after="120"/>
      <w:jc w:val="both"/>
    </w:pPr>
    <w:rPr>
      <w:szCs w:val="24"/>
      <w:lang w:eastAsia="en-US"/>
    </w:rPr>
  </w:style>
  <w:style w:type="paragraph" w:styleId="Heading1">
    <w:name w:val="heading 1"/>
    <w:basedOn w:val="Normal"/>
    <w:next w:val="Normal"/>
    <w:uiPriority w:val="1"/>
    <w:qFormat/>
    <w:rsid w:val="0003440B"/>
    <w:pPr>
      <w:keepNext/>
      <w:numPr>
        <w:numId w:val="3"/>
      </w:numPr>
      <w:spacing w:before="240" w:after="240"/>
      <w:jc w:val="left"/>
      <w:outlineLvl w:val="0"/>
    </w:pPr>
    <w:rPr>
      <w:rFonts w:cs="Arial"/>
      <w:b/>
      <w:bCs/>
      <w:color w:val="469C23" w:themeColor="text2"/>
      <w:sz w:val="40"/>
      <w:szCs w:val="32"/>
    </w:rPr>
  </w:style>
  <w:style w:type="paragraph" w:styleId="Heading2">
    <w:name w:val="heading 2"/>
    <w:basedOn w:val="Normal"/>
    <w:next w:val="Normal"/>
    <w:uiPriority w:val="1"/>
    <w:qFormat/>
    <w:rsid w:val="0003440B"/>
    <w:pPr>
      <w:keepNext/>
      <w:numPr>
        <w:ilvl w:val="1"/>
        <w:numId w:val="3"/>
      </w:numPr>
      <w:spacing w:before="240"/>
      <w:jc w:val="left"/>
      <w:outlineLvl w:val="1"/>
    </w:pPr>
    <w:rPr>
      <w:rFonts w:cs="Arial"/>
      <w:b/>
      <w:bCs/>
      <w:iCs/>
      <w:color w:val="469C23" w:themeColor="text2"/>
      <w:sz w:val="32"/>
      <w:szCs w:val="28"/>
    </w:rPr>
  </w:style>
  <w:style w:type="paragraph" w:styleId="Heading3">
    <w:name w:val="heading 3"/>
    <w:basedOn w:val="Normal"/>
    <w:next w:val="Normal"/>
    <w:uiPriority w:val="1"/>
    <w:qFormat/>
    <w:rsid w:val="0003440B"/>
    <w:pPr>
      <w:keepNext/>
      <w:numPr>
        <w:ilvl w:val="2"/>
        <w:numId w:val="3"/>
      </w:numPr>
      <w:spacing w:before="120"/>
      <w:jc w:val="left"/>
      <w:outlineLvl w:val="2"/>
    </w:pPr>
    <w:rPr>
      <w:rFonts w:cs="Arial"/>
      <w:b/>
      <w:bCs/>
      <w:color w:val="469C23" w:themeColor="text2"/>
      <w:sz w:val="24"/>
      <w:szCs w:val="26"/>
    </w:rPr>
  </w:style>
  <w:style w:type="paragraph" w:styleId="Heading4">
    <w:name w:val="heading 4"/>
    <w:basedOn w:val="Normal"/>
    <w:next w:val="Normal"/>
    <w:uiPriority w:val="1"/>
    <w:qFormat/>
    <w:rsid w:val="0003440B"/>
    <w:pPr>
      <w:keepNext/>
      <w:numPr>
        <w:ilvl w:val="3"/>
        <w:numId w:val="3"/>
      </w:numPr>
      <w:spacing w:before="120"/>
      <w:jc w:val="left"/>
      <w:outlineLvl w:val="3"/>
    </w:pPr>
    <w:rPr>
      <w:b/>
      <w:bCs/>
      <w:i/>
      <w:color w:val="469C23" w:themeColor="text2"/>
      <w:szCs w:val="28"/>
    </w:rPr>
  </w:style>
  <w:style w:type="paragraph" w:styleId="Heading5">
    <w:name w:val="heading 5"/>
    <w:basedOn w:val="Normal"/>
    <w:next w:val="Normal"/>
    <w:semiHidden/>
    <w:unhideWhenUsed/>
    <w:rsid w:val="008D6BAD"/>
    <w:pPr>
      <w:numPr>
        <w:ilvl w:val="4"/>
        <w:numId w:val="3"/>
      </w:numPr>
      <w:spacing w:before="120"/>
      <w:outlineLvl w:val="4"/>
    </w:pPr>
    <w:rPr>
      <w:b/>
      <w:bCs/>
      <w:iCs/>
      <w:szCs w:val="26"/>
    </w:rPr>
  </w:style>
  <w:style w:type="paragraph" w:styleId="Heading6">
    <w:name w:val="heading 6"/>
    <w:basedOn w:val="Normal"/>
    <w:next w:val="Normal"/>
    <w:semiHidden/>
    <w:unhideWhenUsed/>
    <w:rsid w:val="008D6BAD"/>
    <w:pPr>
      <w:numPr>
        <w:ilvl w:val="5"/>
        <w:numId w:val="3"/>
      </w:numPr>
      <w:spacing w:before="120"/>
      <w:outlineLvl w:val="5"/>
    </w:pPr>
    <w:rPr>
      <w:b/>
      <w:bCs/>
      <w:szCs w:val="22"/>
    </w:rPr>
  </w:style>
  <w:style w:type="paragraph" w:styleId="Heading7">
    <w:name w:val="heading 7"/>
    <w:basedOn w:val="Normal"/>
    <w:next w:val="Normal"/>
    <w:semiHidden/>
    <w:unhideWhenUsed/>
    <w:rsid w:val="008D6BAD"/>
    <w:pPr>
      <w:numPr>
        <w:ilvl w:val="6"/>
        <w:numId w:val="3"/>
      </w:numPr>
      <w:spacing w:before="120"/>
      <w:outlineLvl w:val="6"/>
    </w:pPr>
    <w:rPr>
      <w:b/>
    </w:rPr>
  </w:style>
  <w:style w:type="paragraph" w:styleId="Heading8">
    <w:name w:val="heading 8"/>
    <w:basedOn w:val="Normal"/>
    <w:next w:val="Normal"/>
    <w:semiHidden/>
    <w:unhideWhenUsed/>
    <w:rsid w:val="008D6BAD"/>
    <w:pPr>
      <w:numPr>
        <w:ilvl w:val="7"/>
        <w:numId w:val="3"/>
      </w:numPr>
      <w:spacing w:before="240" w:after="60"/>
      <w:outlineLvl w:val="7"/>
    </w:pPr>
    <w:rPr>
      <w:b/>
      <w:iCs/>
    </w:rPr>
  </w:style>
  <w:style w:type="paragraph" w:styleId="Heading9">
    <w:name w:val="heading 9"/>
    <w:basedOn w:val="Normal"/>
    <w:next w:val="Normal"/>
    <w:semiHidden/>
    <w:unhideWhenUsed/>
    <w:rsid w:val="008D6BAD"/>
    <w:pPr>
      <w:numPr>
        <w:ilvl w:val="8"/>
        <w:numId w:val="3"/>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D6BAD"/>
    <w:pPr>
      <w:tabs>
        <w:tab w:val="center" w:pos="4153"/>
        <w:tab w:val="right" w:pos="8306"/>
      </w:tabs>
    </w:pPr>
    <w:rPr>
      <w:szCs w:val="24"/>
      <w:lang w:eastAsia="en-US"/>
    </w:rPr>
  </w:style>
  <w:style w:type="paragraph" w:styleId="Header">
    <w:name w:val="header"/>
    <w:link w:val="HeaderChar"/>
    <w:uiPriority w:val="99"/>
    <w:unhideWhenUsed/>
    <w:rsid w:val="008D6BAD"/>
    <w:pPr>
      <w:tabs>
        <w:tab w:val="right" w:pos="9072"/>
      </w:tabs>
    </w:pPr>
    <w:rPr>
      <w:szCs w:val="24"/>
      <w:lang w:eastAsia="en-US"/>
    </w:rPr>
  </w:style>
  <w:style w:type="paragraph" w:customStyle="1" w:styleId="xAEAbackocverStyleRGB7015635LeftAfter10pt">
    <w:name w:val="xAEA back ocver Style (RGB(7015635)) Left After: 10 pt"/>
    <w:basedOn w:val="Normal"/>
    <w:uiPriority w:val="99"/>
    <w:rsid w:val="00D523F0"/>
    <w:pPr>
      <w:spacing w:after="240"/>
      <w:jc w:val="left"/>
    </w:pPr>
    <w:rPr>
      <w:color w:val="469C23"/>
      <w:szCs w:val="20"/>
    </w:rPr>
  </w:style>
  <w:style w:type="paragraph" w:styleId="TOC1">
    <w:name w:val="toc 1"/>
    <w:basedOn w:val="Normal"/>
    <w:next w:val="Normal"/>
    <w:uiPriority w:val="39"/>
    <w:unhideWhenUsed/>
    <w:rsid w:val="008D6BAD"/>
    <w:pPr>
      <w:tabs>
        <w:tab w:val="left" w:pos="567"/>
        <w:tab w:val="right" w:leader="dot" w:pos="9060"/>
      </w:tabs>
      <w:spacing w:before="120" w:after="0"/>
      <w:jc w:val="left"/>
    </w:pPr>
    <w:rPr>
      <w:b/>
      <w:noProof/>
      <w:sz w:val="22"/>
      <w:szCs w:val="22"/>
    </w:rPr>
  </w:style>
  <w:style w:type="paragraph" w:styleId="TOC2">
    <w:name w:val="toc 2"/>
    <w:basedOn w:val="Normal"/>
    <w:next w:val="Normal"/>
    <w:uiPriority w:val="39"/>
    <w:unhideWhenUsed/>
    <w:rsid w:val="008D6BAD"/>
    <w:pPr>
      <w:tabs>
        <w:tab w:val="left" w:pos="1200"/>
        <w:tab w:val="right" w:leader="dot" w:pos="9060"/>
      </w:tabs>
      <w:spacing w:after="0"/>
      <w:ind w:left="567"/>
      <w:jc w:val="left"/>
    </w:pPr>
    <w:rPr>
      <w:noProof/>
    </w:rPr>
  </w:style>
  <w:style w:type="paragraph" w:styleId="TOC3">
    <w:name w:val="toc 3"/>
    <w:basedOn w:val="Normal"/>
    <w:next w:val="Normal"/>
    <w:uiPriority w:val="39"/>
    <w:unhideWhenUsed/>
    <w:rsid w:val="008D6BAD"/>
    <w:pPr>
      <w:tabs>
        <w:tab w:val="left" w:pos="1701"/>
        <w:tab w:val="right" w:leader="dot" w:pos="9060"/>
      </w:tabs>
      <w:spacing w:after="0"/>
      <w:ind w:left="709"/>
      <w:jc w:val="left"/>
    </w:pPr>
    <w:rPr>
      <w:i/>
      <w:noProof/>
    </w:rPr>
  </w:style>
  <w:style w:type="paragraph" w:styleId="TOC4">
    <w:name w:val="toc 4"/>
    <w:basedOn w:val="Normal"/>
    <w:next w:val="Normal"/>
    <w:autoRedefine/>
    <w:semiHidden/>
    <w:rsid w:val="008D6BAD"/>
    <w:pPr>
      <w:spacing w:after="0"/>
      <w:ind w:left="600"/>
      <w:jc w:val="left"/>
    </w:pPr>
  </w:style>
  <w:style w:type="paragraph" w:styleId="TOC5">
    <w:name w:val="toc 5"/>
    <w:basedOn w:val="Normal"/>
    <w:next w:val="Normal"/>
    <w:autoRedefine/>
    <w:semiHidden/>
    <w:rsid w:val="008D6BAD"/>
    <w:pPr>
      <w:spacing w:after="0"/>
      <w:ind w:left="800"/>
      <w:jc w:val="left"/>
    </w:pPr>
  </w:style>
  <w:style w:type="paragraph" w:styleId="TOC6">
    <w:name w:val="toc 6"/>
    <w:basedOn w:val="Normal"/>
    <w:next w:val="Normal"/>
    <w:autoRedefine/>
    <w:semiHidden/>
    <w:rsid w:val="008D6BAD"/>
    <w:pPr>
      <w:spacing w:after="0"/>
      <w:ind w:left="1000"/>
      <w:jc w:val="left"/>
    </w:pPr>
  </w:style>
  <w:style w:type="paragraph" w:styleId="TOC7">
    <w:name w:val="toc 7"/>
    <w:basedOn w:val="Normal"/>
    <w:next w:val="Normal"/>
    <w:autoRedefine/>
    <w:semiHidden/>
    <w:rsid w:val="008D6BAD"/>
    <w:pPr>
      <w:spacing w:after="0"/>
      <w:ind w:left="1200"/>
      <w:jc w:val="left"/>
    </w:pPr>
  </w:style>
  <w:style w:type="paragraph" w:styleId="TOC8">
    <w:name w:val="toc 8"/>
    <w:basedOn w:val="Normal"/>
    <w:next w:val="Normal"/>
    <w:autoRedefine/>
    <w:semiHidden/>
    <w:rsid w:val="008D6BAD"/>
    <w:pPr>
      <w:spacing w:after="0"/>
      <w:ind w:left="1400"/>
      <w:jc w:val="left"/>
    </w:pPr>
  </w:style>
  <w:style w:type="paragraph" w:styleId="TOC9">
    <w:name w:val="toc 9"/>
    <w:basedOn w:val="Normal"/>
    <w:next w:val="Normal"/>
    <w:autoRedefine/>
    <w:semiHidden/>
    <w:rsid w:val="008D6BAD"/>
    <w:pPr>
      <w:spacing w:after="0"/>
      <w:ind w:left="1600"/>
      <w:jc w:val="left"/>
    </w:pPr>
  </w:style>
  <w:style w:type="character" w:styleId="Hyperlink">
    <w:name w:val="Hyperlink"/>
    <w:basedOn w:val="DefaultParagraphFont"/>
    <w:uiPriority w:val="99"/>
    <w:unhideWhenUsed/>
    <w:rsid w:val="008D6BAD"/>
    <w:rPr>
      <w:color w:val="0000FF"/>
      <w:u w:val="single"/>
    </w:rPr>
  </w:style>
  <w:style w:type="paragraph" w:styleId="Caption">
    <w:name w:val="caption"/>
    <w:basedOn w:val="Normal"/>
    <w:next w:val="Normal"/>
    <w:uiPriority w:val="3"/>
    <w:rsid w:val="008D6BAD"/>
    <w:pPr>
      <w:tabs>
        <w:tab w:val="left" w:pos="1134"/>
      </w:tabs>
      <w:spacing w:before="240"/>
    </w:pPr>
    <w:rPr>
      <w:b/>
      <w:bCs/>
      <w:sz w:val="18"/>
      <w:szCs w:val="20"/>
    </w:rPr>
  </w:style>
  <w:style w:type="character" w:styleId="PageNumber">
    <w:name w:val="page number"/>
    <w:basedOn w:val="DefaultParagraphFont"/>
    <w:uiPriority w:val="99"/>
    <w:semiHidden/>
    <w:unhideWhenUsed/>
    <w:rsid w:val="008D6BAD"/>
    <w:rPr>
      <w:rFonts w:ascii="Arial" w:hAnsi="Arial"/>
      <w:sz w:val="20"/>
    </w:rPr>
  </w:style>
  <w:style w:type="paragraph" w:customStyle="1" w:styleId="Tableheading">
    <w:name w:val="Table heading"/>
    <w:basedOn w:val="Normal"/>
    <w:uiPriority w:val="1"/>
    <w:rsid w:val="008D6BAD"/>
    <w:rPr>
      <w:b/>
    </w:rPr>
  </w:style>
  <w:style w:type="paragraph" w:customStyle="1" w:styleId="Tablecolumnheading">
    <w:name w:val="Table column heading"/>
    <w:basedOn w:val="Tablecontent"/>
    <w:uiPriority w:val="1"/>
    <w:rsid w:val="008D6BAD"/>
    <w:rPr>
      <w:b/>
      <w:color w:val="FFFFFF"/>
    </w:rPr>
  </w:style>
  <w:style w:type="paragraph" w:customStyle="1" w:styleId="Tablecontent">
    <w:name w:val="Table content"/>
    <w:basedOn w:val="Normal"/>
    <w:uiPriority w:val="1"/>
    <w:rsid w:val="008D6BAD"/>
    <w:pPr>
      <w:spacing w:after="0"/>
      <w:jc w:val="left"/>
    </w:pPr>
    <w:rPr>
      <w:szCs w:val="20"/>
    </w:rPr>
  </w:style>
  <w:style w:type="paragraph" w:styleId="FootnoteText">
    <w:name w:val="footnote text"/>
    <w:basedOn w:val="Normal"/>
    <w:link w:val="FootnoteTextChar"/>
    <w:semiHidden/>
    <w:rsid w:val="008D6BAD"/>
    <w:pPr>
      <w:spacing w:after="0"/>
      <w:jc w:val="left"/>
    </w:pPr>
    <w:rPr>
      <w:sz w:val="14"/>
      <w:szCs w:val="20"/>
    </w:rPr>
  </w:style>
  <w:style w:type="character" w:styleId="CommentReference">
    <w:name w:val="annotation reference"/>
    <w:basedOn w:val="DefaultParagraphFont"/>
    <w:semiHidden/>
    <w:rsid w:val="008D6BAD"/>
    <w:rPr>
      <w:sz w:val="16"/>
      <w:szCs w:val="16"/>
    </w:rPr>
  </w:style>
  <w:style w:type="paragraph" w:styleId="CommentText">
    <w:name w:val="annotation text"/>
    <w:basedOn w:val="Normal"/>
    <w:link w:val="CommentTextChar"/>
    <w:semiHidden/>
    <w:rsid w:val="008D6BAD"/>
    <w:rPr>
      <w:szCs w:val="20"/>
    </w:rPr>
  </w:style>
  <w:style w:type="paragraph" w:customStyle="1" w:styleId="Bulletedtext">
    <w:name w:val="Bulleted text"/>
    <w:basedOn w:val="Normal"/>
    <w:uiPriority w:val="3"/>
    <w:rsid w:val="008D6BAD"/>
    <w:pPr>
      <w:spacing w:after="60"/>
    </w:pPr>
  </w:style>
  <w:style w:type="character" w:styleId="FollowedHyperlink">
    <w:name w:val="FollowedHyperlink"/>
    <w:basedOn w:val="DefaultParagraphFont"/>
    <w:uiPriority w:val="99"/>
    <w:semiHidden/>
    <w:unhideWhenUsed/>
    <w:rsid w:val="008D6BAD"/>
    <w:rPr>
      <w:color w:val="548DD4"/>
      <w:u w:val="single"/>
    </w:rPr>
  </w:style>
  <w:style w:type="paragraph" w:styleId="BalloonText">
    <w:name w:val="Balloon Text"/>
    <w:basedOn w:val="Normal"/>
    <w:semiHidden/>
    <w:rsid w:val="008D6BAD"/>
    <w:rPr>
      <w:rFonts w:ascii="Tahoma" w:hAnsi="Tahoma" w:cs="Tahoma"/>
      <w:sz w:val="16"/>
      <w:szCs w:val="16"/>
    </w:rPr>
  </w:style>
  <w:style w:type="paragraph" w:customStyle="1" w:styleId="QAQC-question">
    <w:name w:val="QA/QC - question"/>
    <w:uiPriority w:val="99"/>
    <w:rsid w:val="008D6BAD"/>
    <w:pPr>
      <w:spacing w:after="120"/>
    </w:pPr>
    <w:rPr>
      <w:b/>
      <w:bCs/>
      <w:noProof/>
      <w:color w:val="008000"/>
      <w:lang w:eastAsia="en-US"/>
    </w:rPr>
  </w:style>
  <w:style w:type="table" w:styleId="TableGrid">
    <w:name w:val="Table Grid"/>
    <w:basedOn w:val="TableNormal"/>
    <w:uiPriority w:val="59"/>
    <w:rsid w:val="008D6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main-Coverpage">
    <w:name w:val="Title-main - Coverpage"/>
    <w:basedOn w:val="Header"/>
    <w:uiPriority w:val="3"/>
    <w:rsid w:val="008D6BAD"/>
    <w:pPr>
      <w:spacing w:after="240"/>
      <w:jc w:val="right"/>
    </w:pPr>
    <w:rPr>
      <w:b/>
      <w:bCs/>
      <w:color w:val="4D4D4D"/>
      <w:kern w:val="72"/>
      <w:sz w:val="52"/>
      <w:szCs w:val="20"/>
    </w:rPr>
  </w:style>
  <w:style w:type="paragraph" w:customStyle="1" w:styleId="Tital-sub-Coverpage">
    <w:name w:val="Tital-sub - Coverpage"/>
    <w:basedOn w:val="Header"/>
    <w:uiPriority w:val="3"/>
    <w:rsid w:val="008D6BAD"/>
    <w:pPr>
      <w:ind w:right="-1"/>
      <w:jc w:val="right"/>
    </w:pPr>
    <w:rPr>
      <w:color w:val="008000"/>
      <w:kern w:val="72"/>
      <w:sz w:val="40"/>
      <w:szCs w:val="40"/>
    </w:rPr>
  </w:style>
  <w:style w:type="paragraph" w:customStyle="1" w:styleId="Title-Ref-Coverpage">
    <w:name w:val="Title-Ref - Coverpage"/>
    <w:basedOn w:val="Header"/>
    <w:uiPriority w:val="3"/>
    <w:rsid w:val="008D6BAD"/>
    <w:pPr>
      <w:ind w:right="-1"/>
      <w:jc w:val="right"/>
    </w:pPr>
    <w:rPr>
      <w:color w:val="92D050"/>
      <w:kern w:val="72"/>
      <w:sz w:val="28"/>
      <w:szCs w:val="28"/>
    </w:rPr>
  </w:style>
  <w:style w:type="character" w:customStyle="1" w:styleId="Heading-ExecSum">
    <w:name w:val="Heading - ExecSum"/>
    <w:basedOn w:val="DefaultParagraphFont"/>
    <w:uiPriority w:val="3"/>
    <w:rsid w:val="008D6BAD"/>
    <w:rPr>
      <w:b/>
      <w:bCs/>
      <w:color w:val="008000"/>
      <w:sz w:val="40"/>
    </w:rPr>
  </w:style>
  <w:style w:type="paragraph" w:customStyle="1" w:styleId="Heading-Appendix">
    <w:name w:val="Heading - Appendix"/>
    <w:next w:val="Normal"/>
    <w:uiPriority w:val="3"/>
    <w:qFormat/>
    <w:rsid w:val="0003440B"/>
    <w:pPr>
      <w:keepNext/>
      <w:pageBreakBefore/>
      <w:spacing w:before="120" w:after="240"/>
    </w:pPr>
    <w:rPr>
      <w:rFonts w:cs="Arial"/>
      <w:b/>
      <w:bCs/>
      <w:color w:val="469C23" w:themeColor="text2"/>
      <w:sz w:val="40"/>
      <w:szCs w:val="32"/>
      <w:lang w:eastAsia="en-US"/>
    </w:rPr>
  </w:style>
  <w:style w:type="paragraph" w:customStyle="1" w:styleId="Heading-TOC">
    <w:name w:val="Heading - TOC"/>
    <w:uiPriority w:val="3"/>
    <w:rsid w:val="008D6BAD"/>
    <w:pPr>
      <w:spacing w:before="120" w:after="240"/>
    </w:pPr>
    <w:rPr>
      <w:rFonts w:cs="Arial"/>
      <w:b/>
      <w:bCs/>
      <w:color w:val="008000"/>
      <w:sz w:val="40"/>
      <w:szCs w:val="32"/>
      <w:lang w:eastAsia="en-US"/>
    </w:rPr>
  </w:style>
  <w:style w:type="paragraph" w:styleId="BodyText">
    <w:name w:val="Body Text"/>
    <w:basedOn w:val="Normal"/>
    <w:link w:val="BodyTextChar"/>
    <w:semiHidden/>
    <w:rsid w:val="008D6BAD"/>
    <w:pPr>
      <w:spacing w:after="0"/>
      <w:jc w:val="left"/>
    </w:pPr>
    <w:rPr>
      <w:rFonts w:cs="Arial"/>
      <w:sz w:val="22"/>
    </w:rPr>
  </w:style>
  <w:style w:type="character" w:customStyle="1" w:styleId="BodyTextChar">
    <w:name w:val="Body Text Char"/>
    <w:basedOn w:val="DefaultParagraphFont"/>
    <w:link w:val="BodyText"/>
    <w:semiHidden/>
    <w:rsid w:val="008D6BAD"/>
    <w:rPr>
      <w:rFonts w:cs="Arial"/>
      <w:sz w:val="22"/>
      <w:szCs w:val="24"/>
      <w:lang w:eastAsia="en-US"/>
    </w:rPr>
  </w:style>
  <w:style w:type="character" w:styleId="FootnoteReference">
    <w:name w:val="footnote reference"/>
    <w:basedOn w:val="DefaultParagraphFont"/>
    <w:uiPriority w:val="99"/>
    <w:semiHidden/>
    <w:unhideWhenUsed/>
    <w:rsid w:val="008D6BAD"/>
    <w:rPr>
      <w:vertAlign w:val="superscript"/>
    </w:rPr>
  </w:style>
  <w:style w:type="paragraph" w:customStyle="1" w:styleId="AEAToC">
    <w:name w:val="AEA ToC"/>
    <w:uiPriority w:val="99"/>
    <w:rsid w:val="008D6BAD"/>
    <w:pPr>
      <w:spacing w:after="200" w:line="276" w:lineRule="auto"/>
    </w:pPr>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8D6BAD"/>
    <w:rPr>
      <w:color w:val="808080"/>
    </w:rPr>
  </w:style>
  <w:style w:type="table" w:styleId="LightShading-Accent2">
    <w:name w:val="Light Shading Accent 2"/>
    <w:basedOn w:val="TableNormal"/>
    <w:uiPriority w:val="60"/>
    <w:rsid w:val="008D6BA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D6BAD"/>
    <w:rPr>
      <w:color w:val="365F91" w:themeColor="accent3" w:themeShade="BF"/>
    </w:rPr>
    <w:tblPr>
      <w:tblStyleRowBandSize w:val="1"/>
      <w:tblStyleColBandSize w:val="1"/>
      <w:tblBorders>
        <w:top w:val="single" w:sz="8" w:space="0" w:color="4F81BD" w:themeColor="accent3"/>
        <w:bottom w:val="single" w:sz="8" w:space="0" w:color="4F81BD" w:themeColor="accent3"/>
      </w:tblBorders>
    </w:tblPr>
    <w:tblStylePr w:type="fir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lastRow">
      <w:pPr>
        <w:spacing w:before="0" w:after="0" w:line="240" w:lineRule="auto"/>
      </w:pPr>
      <w:rPr>
        <w:b/>
        <w:bCs/>
      </w:rPr>
      <w:tblPr/>
      <w:tcPr>
        <w:tcBorders>
          <w:top w:val="single" w:sz="8" w:space="0" w:color="4F81BD" w:themeColor="accent3"/>
          <w:left w:val="nil"/>
          <w:bottom w:val="single" w:sz="8" w:space="0" w:color="4F81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3" w:themeFillTint="3F"/>
      </w:tcPr>
    </w:tblStylePr>
    <w:tblStylePr w:type="band1Horz">
      <w:tblPr/>
      <w:tcPr>
        <w:tcBorders>
          <w:left w:val="nil"/>
          <w:right w:val="nil"/>
          <w:insideH w:val="nil"/>
          <w:insideV w:val="nil"/>
        </w:tcBorders>
        <w:shd w:val="clear" w:color="auto" w:fill="D3DFEE" w:themeFill="accent3" w:themeFillTint="3F"/>
      </w:tcPr>
    </w:tblStylePr>
  </w:style>
  <w:style w:type="table" w:styleId="LightShading-Accent4">
    <w:name w:val="Light Shading Accent 4"/>
    <w:basedOn w:val="TableNormal"/>
    <w:uiPriority w:val="60"/>
    <w:rsid w:val="008D6BA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overHeader2">
    <w:name w:val="CoverHeader2"/>
    <w:uiPriority w:val="1"/>
    <w:qFormat/>
    <w:rsid w:val="008D6BAD"/>
    <w:rPr>
      <w:b/>
      <w:color w:val="92D050"/>
      <w:sz w:val="36"/>
      <w:szCs w:val="40"/>
    </w:rPr>
  </w:style>
  <w:style w:type="character" w:customStyle="1" w:styleId="CoverHeader1">
    <w:name w:val="CoverHeader1"/>
    <w:uiPriority w:val="1"/>
    <w:qFormat/>
    <w:rsid w:val="008D6BAD"/>
    <w:rPr>
      <w:b/>
      <w:color w:val="808080"/>
      <w:sz w:val="36"/>
      <w:szCs w:val="40"/>
    </w:rPr>
  </w:style>
  <w:style w:type="paragraph" w:customStyle="1" w:styleId="QA-Page">
    <w:name w:val="QA-Page"/>
    <w:rsid w:val="008D6BAD"/>
    <w:pPr>
      <w:tabs>
        <w:tab w:val="left" w:pos="2366"/>
      </w:tabs>
    </w:pPr>
    <w:rPr>
      <w:szCs w:val="24"/>
      <w:lang w:eastAsia="en-US"/>
    </w:rPr>
  </w:style>
  <w:style w:type="paragraph" w:customStyle="1" w:styleId="CoverQA">
    <w:name w:val="CoverQA"/>
    <w:next w:val="Normal"/>
    <w:rsid w:val="008D6BAD"/>
    <w:rPr>
      <w:color w:val="7F7F7F" w:themeColor="text1" w:themeTint="80"/>
      <w:szCs w:val="24"/>
      <w:lang w:eastAsia="en-US"/>
    </w:rPr>
  </w:style>
  <w:style w:type="character" w:customStyle="1" w:styleId="QuotationsCallout">
    <w:name w:val="Quotations / Callout"/>
    <w:basedOn w:val="DefaultParagraphFont"/>
    <w:qFormat/>
    <w:rsid w:val="008D6BAD"/>
    <w:rPr>
      <w:rFonts w:asciiTheme="minorHAnsi" w:hAnsiTheme="minorHAnsi"/>
      <w:color w:val="595959" w:themeColor="text1" w:themeTint="A6"/>
      <w:sz w:val="24"/>
    </w:rPr>
  </w:style>
  <w:style w:type="character" w:customStyle="1" w:styleId="FooterChar">
    <w:name w:val="Footer Char"/>
    <w:basedOn w:val="DefaultParagraphFont"/>
    <w:link w:val="Footer"/>
    <w:uiPriority w:val="99"/>
    <w:rsid w:val="00DC48DB"/>
    <w:rPr>
      <w:szCs w:val="24"/>
      <w:lang w:eastAsia="en-US"/>
    </w:rPr>
  </w:style>
  <w:style w:type="character" w:customStyle="1" w:styleId="HeaderChar">
    <w:name w:val="Header Char"/>
    <w:basedOn w:val="DefaultParagraphFont"/>
    <w:link w:val="Header"/>
    <w:uiPriority w:val="99"/>
    <w:rsid w:val="005B622E"/>
    <w:rPr>
      <w:szCs w:val="24"/>
      <w:lang w:eastAsia="en-US"/>
    </w:rPr>
  </w:style>
  <w:style w:type="paragraph" w:customStyle="1" w:styleId="BackcoverStyleRGB7015635LeftAfter10pt">
    <w:name w:val="Back cover Style (RGB(7015635)) Left After: 10 pt"/>
    <w:basedOn w:val="Normal"/>
    <w:uiPriority w:val="99"/>
    <w:rsid w:val="008D6BAD"/>
    <w:pPr>
      <w:spacing w:after="240"/>
      <w:jc w:val="left"/>
    </w:pPr>
    <w:rPr>
      <w:color w:val="469C23"/>
      <w:szCs w:val="20"/>
    </w:rPr>
  </w:style>
  <w:style w:type="paragraph" w:styleId="ListParagraph">
    <w:name w:val="List Paragraph"/>
    <w:basedOn w:val="Normal"/>
    <w:uiPriority w:val="34"/>
    <w:unhideWhenUsed/>
    <w:qFormat/>
    <w:rsid w:val="008D6BAD"/>
    <w:pPr>
      <w:numPr>
        <w:numId w:val="4"/>
      </w:numPr>
      <w:spacing w:after="60"/>
    </w:pPr>
  </w:style>
  <w:style w:type="table" w:customStyle="1" w:styleId="Ricardo-AEATableStyle">
    <w:name w:val="Ricardo-AEA Table Style"/>
    <w:basedOn w:val="TableNormal"/>
    <w:uiPriority w:val="99"/>
    <w:qFormat/>
    <w:rsid w:val="0003440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Autospacing="0" w:afterLines="0" w:afterAutospacing="0" w:line="240" w:lineRule="auto"/>
        <w:contextualSpacing w:val="0"/>
      </w:pPr>
      <w:rPr>
        <w:rFonts w:ascii="Arial" w:hAnsi="Arial"/>
        <w:b/>
        <w:color w:val="FFFFFF" w:themeColor="background1"/>
        <w:sz w:val="20"/>
      </w:rPr>
      <w:tblPr/>
      <w:tcPr>
        <w:shd w:val="clear" w:color="auto" w:fill="469C23" w:themeFill="text2"/>
      </w:tcPr>
    </w:tblStylePr>
    <w:tblStylePr w:type="firstCol">
      <w:rPr>
        <w:rFonts w:ascii="Arial" w:hAnsi="Arial"/>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customStyle="1" w:styleId="StyleQAQC-questionRightBefore3ptAfter3pt">
    <w:name w:val="Style QA/QC - question + Right Before:  3 pt After:  3 pt"/>
    <w:basedOn w:val="Normal"/>
    <w:rsid w:val="008D6BAD"/>
    <w:pPr>
      <w:spacing w:before="120" w:after="0"/>
      <w:jc w:val="left"/>
    </w:pPr>
    <w:rPr>
      <w:b/>
      <w:bCs/>
      <w:noProof/>
      <w:color w:val="008000"/>
      <w:szCs w:val="20"/>
    </w:rPr>
  </w:style>
  <w:style w:type="paragraph" w:styleId="CommentSubject">
    <w:name w:val="annotation subject"/>
    <w:basedOn w:val="CommentText"/>
    <w:next w:val="CommentText"/>
    <w:link w:val="CommentSubjectChar"/>
    <w:uiPriority w:val="99"/>
    <w:semiHidden/>
    <w:unhideWhenUsed/>
    <w:rsid w:val="007E6462"/>
    <w:rPr>
      <w:b/>
      <w:bCs/>
    </w:rPr>
  </w:style>
  <w:style w:type="character" w:customStyle="1" w:styleId="CommentTextChar">
    <w:name w:val="Comment Text Char"/>
    <w:basedOn w:val="DefaultParagraphFont"/>
    <w:link w:val="CommentText"/>
    <w:semiHidden/>
    <w:rsid w:val="007E6462"/>
    <w:rPr>
      <w:lang w:eastAsia="en-US"/>
    </w:rPr>
  </w:style>
  <w:style w:type="character" w:customStyle="1" w:styleId="CommentSubjectChar">
    <w:name w:val="Comment Subject Char"/>
    <w:basedOn w:val="CommentTextChar"/>
    <w:link w:val="CommentSubject"/>
    <w:rsid w:val="007E6462"/>
    <w:rPr>
      <w:lang w:eastAsia="en-US"/>
    </w:rPr>
  </w:style>
  <w:style w:type="paragraph" w:customStyle="1" w:styleId="Default">
    <w:name w:val="Default"/>
    <w:rsid w:val="007B2F53"/>
    <w:pPr>
      <w:autoSpaceDE w:val="0"/>
      <w:autoSpaceDN w:val="0"/>
      <w:adjustRightInd w:val="0"/>
    </w:pPr>
    <w:rPr>
      <w:rFonts w:cs="Arial"/>
      <w:color w:val="000000"/>
      <w:sz w:val="24"/>
      <w:szCs w:val="24"/>
    </w:rPr>
  </w:style>
  <w:style w:type="paragraph" w:styleId="Revision">
    <w:name w:val="Revision"/>
    <w:hidden/>
    <w:uiPriority w:val="99"/>
    <w:semiHidden/>
    <w:rsid w:val="0040363F"/>
    <w:rPr>
      <w:szCs w:val="24"/>
      <w:lang w:eastAsia="en-US"/>
    </w:rPr>
  </w:style>
  <w:style w:type="character" w:customStyle="1" w:styleId="FootnoteTextChar">
    <w:name w:val="Footnote Text Char"/>
    <w:link w:val="FootnoteText"/>
    <w:semiHidden/>
    <w:rsid w:val="006B7233"/>
    <w:rPr>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9587">
      <w:bodyDiv w:val="1"/>
      <w:marLeft w:val="0"/>
      <w:marRight w:val="0"/>
      <w:marTop w:val="0"/>
      <w:marBottom w:val="0"/>
      <w:divBdr>
        <w:top w:val="none" w:sz="0" w:space="0" w:color="auto"/>
        <w:left w:val="none" w:sz="0" w:space="0" w:color="auto"/>
        <w:bottom w:val="none" w:sz="0" w:space="0" w:color="auto"/>
        <w:right w:val="none" w:sz="0" w:space="0" w:color="auto"/>
      </w:divBdr>
      <w:divsChild>
        <w:div w:id="1479152024">
          <w:marLeft w:val="281"/>
          <w:marRight w:val="281"/>
          <w:marTop w:val="281"/>
          <w:marBottom w:val="0"/>
          <w:divBdr>
            <w:top w:val="none" w:sz="0" w:space="0" w:color="auto"/>
            <w:left w:val="none" w:sz="0" w:space="0" w:color="auto"/>
            <w:bottom w:val="none" w:sz="0" w:space="0" w:color="auto"/>
            <w:right w:val="none" w:sz="0" w:space="0" w:color="auto"/>
          </w:divBdr>
          <w:divsChild>
            <w:div w:id="3676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7080">
      <w:bodyDiv w:val="1"/>
      <w:marLeft w:val="0"/>
      <w:marRight w:val="0"/>
      <w:marTop w:val="0"/>
      <w:marBottom w:val="0"/>
      <w:divBdr>
        <w:top w:val="none" w:sz="0" w:space="0" w:color="auto"/>
        <w:left w:val="none" w:sz="0" w:space="0" w:color="auto"/>
        <w:bottom w:val="none" w:sz="0" w:space="0" w:color="auto"/>
        <w:right w:val="none" w:sz="0" w:space="0" w:color="auto"/>
      </w:divBdr>
    </w:div>
    <w:div w:id="727535205">
      <w:bodyDiv w:val="1"/>
      <w:marLeft w:val="0"/>
      <w:marRight w:val="0"/>
      <w:marTop w:val="0"/>
      <w:marBottom w:val="0"/>
      <w:divBdr>
        <w:top w:val="none" w:sz="0" w:space="0" w:color="auto"/>
        <w:left w:val="none" w:sz="0" w:space="0" w:color="auto"/>
        <w:bottom w:val="none" w:sz="0" w:space="0" w:color="auto"/>
        <w:right w:val="none" w:sz="0" w:space="0" w:color="auto"/>
      </w:divBdr>
    </w:div>
    <w:div w:id="947850787">
      <w:bodyDiv w:val="1"/>
      <w:marLeft w:val="0"/>
      <w:marRight w:val="0"/>
      <w:marTop w:val="0"/>
      <w:marBottom w:val="0"/>
      <w:divBdr>
        <w:top w:val="none" w:sz="0" w:space="0" w:color="auto"/>
        <w:left w:val="none" w:sz="0" w:space="0" w:color="auto"/>
        <w:bottom w:val="none" w:sz="0" w:space="0" w:color="auto"/>
        <w:right w:val="none" w:sz="0" w:space="0" w:color="auto"/>
      </w:divBdr>
    </w:div>
    <w:div w:id="1083456457">
      <w:bodyDiv w:val="1"/>
      <w:marLeft w:val="0"/>
      <w:marRight w:val="0"/>
      <w:marTop w:val="0"/>
      <w:marBottom w:val="0"/>
      <w:divBdr>
        <w:top w:val="none" w:sz="0" w:space="0" w:color="auto"/>
        <w:left w:val="none" w:sz="0" w:space="0" w:color="auto"/>
        <w:bottom w:val="none" w:sz="0" w:space="0" w:color="auto"/>
        <w:right w:val="none" w:sz="0" w:space="0" w:color="auto"/>
      </w:divBdr>
    </w:div>
    <w:div w:id="1096749368">
      <w:bodyDiv w:val="1"/>
      <w:marLeft w:val="0"/>
      <w:marRight w:val="0"/>
      <w:marTop w:val="0"/>
      <w:marBottom w:val="0"/>
      <w:divBdr>
        <w:top w:val="none" w:sz="0" w:space="0" w:color="auto"/>
        <w:left w:val="none" w:sz="0" w:space="0" w:color="auto"/>
        <w:bottom w:val="none" w:sz="0" w:space="0" w:color="auto"/>
        <w:right w:val="none" w:sz="0" w:space="0" w:color="auto"/>
      </w:divBdr>
    </w:div>
    <w:div w:id="1205022301">
      <w:bodyDiv w:val="1"/>
      <w:marLeft w:val="0"/>
      <w:marRight w:val="0"/>
      <w:marTop w:val="0"/>
      <w:marBottom w:val="0"/>
      <w:divBdr>
        <w:top w:val="none" w:sz="0" w:space="0" w:color="auto"/>
        <w:left w:val="none" w:sz="0" w:space="0" w:color="auto"/>
        <w:bottom w:val="none" w:sz="0" w:space="0" w:color="auto"/>
        <w:right w:val="none" w:sz="0" w:space="0" w:color="auto"/>
      </w:divBdr>
    </w:div>
    <w:div w:id="1388644469">
      <w:bodyDiv w:val="1"/>
      <w:marLeft w:val="0"/>
      <w:marRight w:val="0"/>
      <w:marTop w:val="0"/>
      <w:marBottom w:val="0"/>
      <w:divBdr>
        <w:top w:val="none" w:sz="0" w:space="0" w:color="auto"/>
        <w:left w:val="none" w:sz="0" w:space="0" w:color="auto"/>
        <w:bottom w:val="none" w:sz="0" w:space="0" w:color="auto"/>
        <w:right w:val="none" w:sz="0" w:space="0" w:color="auto"/>
      </w:divBdr>
    </w:div>
    <w:div w:id="19606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icard-AEA MSWord Theme">
  <a:themeElements>
    <a:clrScheme name="Ricardo-AEA">
      <a:dk1>
        <a:sysClr val="windowText" lastClr="000000"/>
      </a:dk1>
      <a:lt1>
        <a:sysClr val="window" lastClr="FFFFFF"/>
      </a:lt1>
      <a:dk2>
        <a:srgbClr val="469C23"/>
      </a:dk2>
      <a:lt2>
        <a:srgbClr val="EEECE1"/>
      </a:lt2>
      <a:accent1>
        <a:srgbClr val="469C23"/>
      </a:accent1>
      <a:accent2>
        <a:srgbClr val="C0504D"/>
      </a:accent2>
      <a:accent3>
        <a:srgbClr val="4F81B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4BC71A-4103-4D6F-A230-349DACEF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5808</Characters>
  <Application>Microsoft Office Word</Application>
  <DocSecurity>0</DocSecurity>
  <Lines>170</Lines>
  <Paragraphs>117</Paragraphs>
  <ScaleCrop>false</ScaleCrop>
  <HeadingPairs>
    <vt:vector size="2" baseType="variant">
      <vt:variant>
        <vt:lpstr>Title</vt:lpstr>
      </vt:variant>
      <vt:variant>
        <vt:i4>1</vt:i4>
      </vt:variant>
    </vt:vector>
  </HeadingPairs>
  <TitlesOfParts>
    <vt:vector size="1" baseType="lpstr">
      <vt:lpstr>Kingspan</vt:lpstr>
    </vt:vector>
  </TitlesOfParts>
  <Company>RIcardo-AEA Ltd</Company>
  <LinksUpToDate>false</LinksUpToDate>
  <CharactersWithSpaces>6788</CharactersWithSpaces>
  <SharedDoc>false</SharedDoc>
  <HLinks>
    <vt:vector size="42" baseType="variant">
      <vt:variant>
        <vt:i4>1507389</vt:i4>
      </vt:variant>
      <vt:variant>
        <vt:i4>35</vt:i4>
      </vt:variant>
      <vt:variant>
        <vt:i4>0</vt:i4>
      </vt:variant>
      <vt:variant>
        <vt:i4>5</vt:i4>
      </vt:variant>
      <vt:variant>
        <vt:lpwstr/>
      </vt:variant>
      <vt:variant>
        <vt:lpwstr>_Toc245884283</vt:lpwstr>
      </vt:variant>
      <vt:variant>
        <vt:i4>1507389</vt:i4>
      </vt:variant>
      <vt:variant>
        <vt:i4>29</vt:i4>
      </vt:variant>
      <vt:variant>
        <vt:i4>0</vt:i4>
      </vt:variant>
      <vt:variant>
        <vt:i4>5</vt:i4>
      </vt:variant>
      <vt:variant>
        <vt:lpwstr/>
      </vt:variant>
      <vt:variant>
        <vt:lpwstr>_Toc245884282</vt:lpwstr>
      </vt:variant>
      <vt:variant>
        <vt:i4>1507389</vt:i4>
      </vt:variant>
      <vt:variant>
        <vt:i4>23</vt:i4>
      </vt:variant>
      <vt:variant>
        <vt:i4>0</vt:i4>
      </vt:variant>
      <vt:variant>
        <vt:i4>5</vt:i4>
      </vt:variant>
      <vt:variant>
        <vt:lpwstr/>
      </vt:variant>
      <vt:variant>
        <vt:lpwstr>_Toc245884281</vt:lpwstr>
      </vt:variant>
      <vt:variant>
        <vt:i4>1507389</vt:i4>
      </vt:variant>
      <vt:variant>
        <vt:i4>17</vt:i4>
      </vt:variant>
      <vt:variant>
        <vt:i4>0</vt:i4>
      </vt:variant>
      <vt:variant>
        <vt:i4>5</vt:i4>
      </vt:variant>
      <vt:variant>
        <vt:lpwstr/>
      </vt:variant>
      <vt:variant>
        <vt:lpwstr>_Toc245884280</vt:lpwstr>
      </vt:variant>
      <vt:variant>
        <vt:i4>1572925</vt:i4>
      </vt:variant>
      <vt:variant>
        <vt:i4>11</vt:i4>
      </vt:variant>
      <vt:variant>
        <vt:i4>0</vt:i4>
      </vt:variant>
      <vt:variant>
        <vt:i4>5</vt:i4>
      </vt:variant>
      <vt:variant>
        <vt:lpwstr/>
      </vt:variant>
      <vt:variant>
        <vt:lpwstr>_Toc245884279</vt:lpwstr>
      </vt:variant>
      <vt:variant>
        <vt:i4>1572925</vt:i4>
      </vt:variant>
      <vt:variant>
        <vt:i4>5</vt:i4>
      </vt:variant>
      <vt:variant>
        <vt:i4>0</vt:i4>
      </vt:variant>
      <vt:variant>
        <vt:i4>5</vt:i4>
      </vt:variant>
      <vt:variant>
        <vt:lpwstr/>
      </vt:variant>
      <vt:variant>
        <vt:lpwstr>_Toc245884278</vt:lpwstr>
      </vt:variant>
      <vt:variant>
        <vt:i4>6619250</vt:i4>
      </vt:variant>
      <vt:variant>
        <vt:i4>0</vt:i4>
      </vt:variant>
      <vt:variant>
        <vt:i4>0</vt:i4>
      </vt:variant>
      <vt:variant>
        <vt:i4>5</vt:i4>
      </vt:variant>
      <vt:variant>
        <vt:lpwstr>http://www.pdf995.com/download.html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dc:title>
  <dc:creator>Mark Broomfield</dc:creator>
  <cp:lastModifiedBy>MUNOZ CUESTA Marta (ENV)</cp:lastModifiedBy>
  <cp:revision>2</cp:revision>
  <cp:lastPrinted>2015-04-24T13:27:00Z</cp:lastPrinted>
  <dcterms:created xsi:type="dcterms:W3CDTF">2015-04-28T14:13:00Z</dcterms:created>
  <dcterms:modified xsi:type="dcterms:W3CDTF">2015-04-28T14:13:00Z</dcterms:modified>
  <cp:category>XXXXX</cp:category>
  <cp:contentStatus>Issue Number 2</cp:contentStatus>
</cp:coreProperties>
</file>